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9" w:rsidRDefault="00106489" w:rsidP="0016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33474C" w:rsidRPr="00954967" w:rsidTr="002E547B">
        <w:tc>
          <w:tcPr>
            <w:tcW w:w="4608" w:type="dxa"/>
            <w:vAlign w:val="center"/>
          </w:tcPr>
          <w:p w:rsidR="0033474C" w:rsidRPr="00BB60A3" w:rsidRDefault="0033474C" w:rsidP="002E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52"/>
                <w:szCs w:val="52"/>
              </w:rPr>
            </w:pPr>
            <w:r>
              <w:rPr>
                <w:rFonts w:ascii="Times New Roman" w:eastAsia="Times New Roman" w:hAnsi="Times New Roman"/>
                <w:b/>
                <w:noProof/>
                <w:sz w:val="52"/>
                <w:szCs w:val="52"/>
                <w:lang w:val="sr-Latn-RS" w:eastAsia="sr-Latn-RS"/>
              </w:rPr>
              <w:drawing>
                <wp:inline distT="0" distB="0" distL="0" distR="0">
                  <wp:extent cx="2036445" cy="127444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vAlign w:val="center"/>
          </w:tcPr>
          <w:p w:rsidR="0033474C" w:rsidRPr="00A72C4E" w:rsidRDefault="0033474C" w:rsidP="002E5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A72C4E"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JP “Srbijašume” Beograd</w:t>
            </w:r>
          </w:p>
        </w:tc>
      </w:tr>
    </w:tbl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AA6D7F">
        <w:rPr>
          <w:rFonts w:ascii="Times New Roman" w:eastAsia="Times New Roman" w:hAnsi="Times New Roman"/>
          <w:b/>
          <w:sz w:val="32"/>
          <w:szCs w:val="32"/>
        </w:rPr>
        <w:t>GODIŠNJI  PROGRAM</w:t>
      </w:r>
      <w:proofErr w:type="gramEnd"/>
      <w:r w:rsidRPr="00AA6D7F">
        <w:rPr>
          <w:rFonts w:ascii="Times New Roman" w:eastAsia="Times New Roman" w:hAnsi="Times New Roman"/>
          <w:b/>
          <w:sz w:val="32"/>
          <w:szCs w:val="32"/>
        </w:rPr>
        <w:t xml:space="preserve"> U</w:t>
      </w:r>
      <w:r w:rsidRPr="00AA6D7F">
        <w:rPr>
          <w:rFonts w:ascii="Times New Roman" w:eastAsia="Times New Roman" w:hAnsi="Times New Roman"/>
          <w:b/>
          <w:sz w:val="32"/>
          <w:szCs w:val="32"/>
          <w:lang w:val="sr-Cyrl-RS"/>
        </w:rPr>
        <w:t>P</w:t>
      </w:r>
      <w:r w:rsidRPr="00AA6D7F">
        <w:rPr>
          <w:rFonts w:ascii="Times New Roman" w:eastAsia="Times New Roman" w:hAnsi="Times New Roman"/>
          <w:b/>
          <w:sz w:val="32"/>
          <w:szCs w:val="32"/>
          <w:lang w:val="sr-Latn-RS"/>
        </w:rPr>
        <w:t xml:space="preserve">RAVLJANJA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RIBARSKIM PODRUČJEM</w:t>
      </w:r>
      <w:r w:rsidRPr="00AA6D7F">
        <w:rPr>
          <w:rFonts w:ascii="Times New Roman" w:eastAsia="Times New Roman" w:hAnsi="Times New Roman"/>
          <w:b/>
          <w:sz w:val="32"/>
          <w:szCs w:val="32"/>
        </w:rPr>
        <w:t xml:space="preserve"> “</w:t>
      </w:r>
      <w:r w:rsidR="00992173">
        <w:rPr>
          <w:rFonts w:ascii="Times New Roman" w:eastAsia="Times New Roman" w:hAnsi="Times New Roman"/>
          <w:b/>
          <w:sz w:val="32"/>
          <w:szCs w:val="32"/>
        </w:rPr>
        <w:t>RADAN</w:t>
      </w:r>
      <w:r w:rsidRPr="00AA6D7F">
        <w:rPr>
          <w:rFonts w:ascii="Times New Roman" w:eastAsia="Times New Roman" w:hAnsi="Times New Roman"/>
          <w:b/>
          <w:sz w:val="32"/>
          <w:szCs w:val="32"/>
        </w:rPr>
        <w:t>” ZA 20</w:t>
      </w:r>
      <w:r>
        <w:rPr>
          <w:rFonts w:ascii="Times New Roman" w:eastAsia="Times New Roman" w:hAnsi="Times New Roman"/>
          <w:b/>
          <w:sz w:val="32"/>
          <w:szCs w:val="32"/>
        </w:rPr>
        <w:t>19</w:t>
      </w:r>
      <w:r w:rsidRPr="00AA6D7F">
        <w:rPr>
          <w:rFonts w:ascii="Times New Roman" w:eastAsia="Times New Roman" w:hAnsi="Times New Roman"/>
          <w:b/>
          <w:sz w:val="32"/>
          <w:szCs w:val="32"/>
        </w:rPr>
        <w:t>. GODINU</w:t>
      </w: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DC25D1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C25D1">
        <w:rPr>
          <w:rFonts w:ascii="Times New Roman" w:eastAsia="Times New Roman" w:hAnsi="Times New Roman"/>
          <w:sz w:val="24"/>
          <w:szCs w:val="24"/>
          <w:u w:val="single"/>
        </w:rPr>
        <w:t>Stručno lice</w:t>
      </w:r>
    </w:p>
    <w:p w:rsidR="0033474C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Alan Koljukaj</w:t>
      </w:r>
    </w:p>
    <w:p w:rsidR="0033474C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DC25D1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DC25D1" w:rsidRDefault="0033474C" w:rsidP="0033474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DC25D1">
        <w:rPr>
          <w:rFonts w:ascii="Times New Roman" w:eastAsia="Times New Roman" w:hAnsi="Times New Roman"/>
          <w:i/>
          <w:sz w:val="24"/>
          <w:szCs w:val="24"/>
        </w:rPr>
        <w:t>dipl.inž.</w:t>
      </w:r>
      <w:r>
        <w:rPr>
          <w:rFonts w:ascii="Times New Roman" w:eastAsia="Times New Roman" w:hAnsi="Times New Roman"/>
          <w:i/>
          <w:sz w:val="24"/>
          <w:szCs w:val="24"/>
        </w:rPr>
        <w:t>polj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DC25D1">
        <w:rPr>
          <w:rFonts w:ascii="Times New Roman" w:eastAsia="Times New Roman" w:hAnsi="Times New Roman"/>
          <w:i/>
          <w:sz w:val="24"/>
          <w:szCs w:val="24"/>
        </w:rPr>
        <w:t>za stočarstvo</w:t>
      </w: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474C" w:rsidRPr="00AA6D7F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474C" w:rsidRPr="00AA6D7F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474C" w:rsidRPr="00AA6D7F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474C" w:rsidRPr="00AA6D7F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474C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3474C" w:rsidRPr="009C58F4" w:rsidRDefault="0033474C" w:rsidP="003347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Beograd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  2018</w:t>
      </w:r>
      <w:r w:rsidRPr="00AA6D7F">
        <w:rPr>
          <w:rFonts w:ascii="Times New Roman" w:eastAsia="Times New Roman" w:hAnsi="Times New Roman"/>
          <w:sz w:val="28"/>
          <w:szCs w:val="28"/>
        </w:rPr>
        <w:t>.g</w:t>
      </w:r>
      <w:r>
        <w:rPr>
          <w:rFonts w:ascii="Times New Roman" w:eastAsia="Times New Roman" w:hAnsi="Times New Roman"/>
          <w:sz w:val="28"/>
          <w:szCs w:val="28"/>
        </w:rPr>
        <w:t>od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605BF" w:rsidRPr="00036A65" w:rsidRDefault="00106489" w:rsidP="00036A6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br w:type="page"/>
      </w:r>
    </w:p>
    <w:p w:rsidR="00F21126" w:rsidRDefault="00F21126" w:rsidP="0074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AF" w:rsidRDefault="00E52FAF" w:rsidP="0074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37E" w:rsidRDefault="0074437E" w:rsidP="0074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</w:t>
      </w:r>
    </w:p>
    <w:p w:rsidR="00494B1C" w:rsidRDefault="00494B1C" w:rsidP="0074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A65" w:rsidRDefault="00F21126" w:rsidP="00036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036A65" w:rsidRPr="000A4517">
        <w:rPr>
          <w:rFonts w:ascii="Times New Roman" w:hAnsi="Times New Roman"/>
          <w:sz w:val="24"/>
          <w:szCs w:val="24"/>
          <w:lang w:val="sr-Latn-RS"/>
        </w:rPr>
        <w:t xml:space="preserve">Na osnovu člana 22. Zakona o javnim preduzećima 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036A65" w:rsidRPr="000A4517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„Službeni glasnik RS“</w:t>
      </w:r>
      <w:r w:rsidR="00036A65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,</w:t>
      </w:r>
      <w:r w:rsidR="00036A65" w:rsidRPr="000A4517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br. 15/2016), </w:t>
      </w:r>
      <w:r w:rsidR="00036A65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3. stav 3. 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CS"/>
        </w:rPr>
        <w:t>Zakona o zaštiti i odr</w:t>
      </w:r>
      <w:r w:rsidR="001B6C9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živom korišćenju ribljeg fonda </w:t>
      </w:r>
      <w:r w:rsidR="001B6C9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1B6C93" w:rsidRPr="000A4517">
        <w:rPr>
          <w:rFonts w:ascii="Times New Roman" w:eastAsia="Times New Roman" w:hAnsi="Times New Roman" w:cs="Times New Roman"/>
          <w:i/>
          <w:sz w:val="24"/>
          <w:szCs w:val="24"/>
        </w:rPr>
        <w:t>„Sl</w:t>
      </w:r>
      <w:r w:rsidR="001B6C93">
        <w:rPr>
          <w:rFonts w:ascii="Times New Roman" w:eastAsia="Times New Roman" w:hAnsi="Times New Roman" w:cs="Times New Roman"/>
          <w:i/>
          <w:sz w:val="24"/>
          <w:szCs w:val="24"/>
        </w:rPr>
        <w:t>.gl.</w:t>
      </w:r>
      <w:r w:rsidR="001B6C93" w:rsidRPr="000A4517">
        <w:rPr>
          <w:rFonts w:ascii="Times New Roman" w:eastAsia="Times New Roman" w:hAnsi="Times New Roman" w:cs="Times New Roman"/>
          <w:i/>
          <w:sz w:val="24"/>
          <w:szCs w:val="24"/>
        </w:rPr>
        <w:t xml:space="preserve"> RS”,</w:t>
      </w:r>
      <w:r w:rsidR="001B6C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br.</w:t>
      </w:r>
      <w:r w:rsidR="001B6C93" w:rsidRPr="000A45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128/14</w:t>
      </w:r>
      <w:r w:rsidR="001B6C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95/18</w:t>
      </w:r>
      <w:r w:rsidR="001B6C93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dr.zakon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CS"/>
        </w:rPr>
        <w:t>) i Uredbe o proglašenju Parka prirode „Radan</w:t>
      </w:r>
      <w:proofErr w:type="gramStart"/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proofErr w:type="gramEnd"/>
      <w:r w:rsidR="00036A65" w:rsidRPr="000A4517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„Službeni glasnik RS“</w:t>
      </w:r>
      <w:r w:rsidR="00036A65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,</w:t>
      </w:r>
      <w:r w:rsidR="00036A65" w:rsidRPr="000A4517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br. 91/17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), Nadzorni odbor Javnog preduzeća za gazdovanje šumama „Srbijašume“ na </w:t>
      </w:r>
      <w:r w:rsidR="00036A65" w:rsidRPr="007959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sednici održanoj 05.04.2018. godine doneo je Odluku broj 75/2018-57 kojom se odobrava Javnom preduzeću za gazdovanje šumama „Srbijašume“ 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da na ribolovnim vodama u granicama Parka prirode „Radan“ prog</w:t>
      </w:r>
      <w:r w:rsidR="00036A6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lasi Ribarsko područje „Radan“ (RP „Radan“ u daljem tekstu), </w:t>
      </w:r>
      <w:r w:rsidR="00036A65"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po prethodno pribavljenoj saglasnosti Ministarstva zaštite životne sredine na proglašenje Ribarskog područja „Radan“ broj 324-07-23/2018-04.</w:t>
      </w:r>
    </w:p>
    <w:p w:rsidR="00F21126" w:rsidRPr="00B81A18" w:rsidRDefault="00F21126" w:rsidP="00F2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proofErr w:type="gramStart"/>
      <w:r w:rsidRPr="00B81A18">
        <w:rPr>
          <w:rFonts w:ascii="Times New Roman" w:eastAsia="Times New Roman" w:hAnsi="Times New Roman" w:cs="Times New Roman"/>
          <w:sz w:val="24"/>
          <w:szCs w:val="24"/>
        </w:rPr>
        <w:t>Prema članu 18.</w:t>
      </w:r>
      <w:proofErr w:type="gramEnd"/>
      <w:r w:rsidRPr="00B81A18">
        <w:rPr>
          <w:rFonts w:ascii="Times New Roman" w:eastAsia="Times New Roman" w:hAnsi="Times New Roman" w:cs="Times New Roman"/>
          <w:sz w:val="24"/>
          <w:szCs w:val="24"/>
        </w:rPr>
        <w:t xml:space="preserve"> Zakona o zaštiti i održivom korišćenju ribljeg fonda </w:t>
      </w:r>
      <w:proofErr w:type="gramStart"/>
      <w:r w:rsidRPr="00B81A18">
        <w:rPr>
          <w:rFonts w:ascii="Times New Roman" w:eastAsia="Times New Roman" w:hAnsi="Times New Roman" w:cs="Times New Roman"/>
          <w:sz w:val="24"/>
          <w:szCs w:val="24"/>
        </w:rPr>
        <w:t>( “</w:t>
      </w:r>
      <w:proofErr w:type="gramEnd"/>
      <w:r w:rsidRPr="00B81A18">
        <w:rPr>
          <w:rFonts w:ascii="Times New Roman" w:eastAsia="Times New Roman" w:hAnsi="Times New Roman" w:cs="Times New Roman"/>
          <w:sz w:val="24"/>
          <w:szCs w:val="24"/>
        </w:rPr>
        <w:t xml:space="preserve">Sl.gl. RS”, br. 128/2014 </w:t>
      </w:r>
      <w:r w:rsidRPr="00B81A18">
        <w:rPr>
          <w:rFonts w:ascii="Times New Roman" w:eastAsia="Times New Roman" w:hAnsi="Times New Roman" w:cs="Times New Roman"/>
          <w:sz w:val="24"/>
          <w:szCs w:val="24"/>
          <w:lang w:val="sr-Latn-RS"/>
        </w:rPr>
        <w:t>i 95/18- dr.zakon</w:t>
      </w:r>
      <w:r w:rsidRPr="00B81A18">
        <w:rPr>
          <w:rFonts w:ascii="Times New Roman" w:eastAsia="Times New Roman" w:hAnsi="Times New Roman" w:cs="Times New Roman"/>
          <w:sz w:val="24"/>
          <w:szCs w:val="24"/>
        </w:rPr>
        <w:t xml:space="preserve">) korisnik ribarskog područja koje se nalazi u nacionalnom parku ili drugom zaštićenom prirodnom dobru dužan je da Program upravljanja ribarskim područjem uskladi sa Planom upravljanja zaštićenim područjem. Na osnovu navedenog zakonskog propisa, Program upravljanja usklađuje se </w:t>
      </w:r>
      <w:proofErr w:type="gramStart"/>
      <w:r w:rsidRPr="00B81A1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B81A18">
        <w:rPr>
          <w:rFonts w:ascii="Times New Roman" w:eastAsia="Times New Roman" w:hAnsi="Times New Roman" w:cs="Times New Roman"/>
          <w:sz w:val="24"/>
          <w:szCs w:val="24"/>
        </w:rPr>
        <w:t xml:space="preserve"> Uredbom Vlade Republike Srbije. </w:t>
      </w:r>
      <w:proofErr w:type="gramStart"/>
      <w:r w:rsidRPr="00B81A18">
        <w:rPr>
          <w:rFonts w:ascii="Times New Roman" w:eastAsia="Times New Roman" w:hAnsi="Times New Roman" w:cs="Times New Roman"/>
          <w:sz w:val="24"/>
          <w:szCs w:val="24"/>
        </w:rPr>
        <w:t>("Sl.gl. RS", br. 91/2017) o proglašenju Parka prirode “Radan”.</w:t>
      </w:r>
      <w:proofErr w:type="gramEnd"/>
      <w:r w:rsidRPr="00B8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A18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 ribarskog područja se podudaraju sa granicama Parka prirode „Radan“. Vode ribarskog područja koriste se za rekreativni ribolov.</w:t>
      </w:r>
    </w:p>
    <w:p w:rsidR="00F21126" w:rsidRPr="00F21126" w:rsidRDefault="00F21126" w:rsidP="00036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A65" w:rsidRPr="000A4517" w:rsidRDefault="00036A65" w:rsidP="00036A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0A4517">
        <w:rPr>
          <w:rFonts w:ascii="Times New Roman" w:hAnsi="Times New Roman"/>
          <w:sz w:val="24"/>
          <w:szCs w:val="24"/>
          <w:lang w:val="sr-Latn-RS"/>
        </w:rPr>
        <w:tab/>
        <w:t xml:space="preserve">Korisnik ribarskog područja „Radan“ je Javno preduzeće za gazdovanje šumama „Srbijašume“ sa p.o. Beograd, Bulevar Mihajla Pupina 113. MB. 07754183 i PIB; 100002820, koje zatupa direktor Igor Braunović. </w:t>
      </w:r>
    </w:p>
    <w:p w:rsidR="00036A65" w:rsidRPr="00036A65" w:rsidRDefault="00036A65" w:rsidP="00036A65">
      <w:pPr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0A4517">
        <w:rPr>
          <w:rFonts w:ascii="Times New Roman" w:hAnsi="Times New Roman"/>
          <w:sz w:val="24"/>
          <w:szCs w:val="24"/>
          <w:lang w:val="sr-Latn-RS"/>
        </w:rPr>
        <w:tab/>
        <w:t xml:space="preserve">Poslove na korišćenju Ribarskog područja „Radan“, korisnik ribarskog područja će </w:t>
      </w:r>
      <w:r w:rsidRPr="000A4517">
        <w:rPr>
          <w:rFonts w:ascii="Times New Roman" w:hAnsi="Times New Roman"/>
          <w:sz w:val="24"/>
          <w:szCs w:val="24"/>
          <w:u w:val="single"/>
          <w:lang w:val="sr-Latn-RS"/>
        </w:rPr>
        <w:t>obavljati preko Šumskog gazdinstva „Šume“ sa sedištem u Leskovcu i Šumskog gazdinstva „Toplica“ sa sedištem u Kuršumliji.</w:t>
      </w:r>
    </w:p>
    <w:p w:rsidR="00036A65" w:rsidRPr="000A4517" w:rsidRDefault="00036A65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52FA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Pr="000A4517">
        <w:rPr>
          <w:rFonts w:ascii="Times New Roman" w:eastAsia="Times New Roman" w:hAnsi="Times New Roman" w:cs="Times New Roman"/>
          <w:sz w:val="24"/>
          <w:szCs w:val="24"/>
        </w:rPr>
        <w:t>Ribarsko područje "</w:t>
      </w:r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Radan</w:t>
      </w: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čine ribolovne vode, vodotok </w:t>
      </w: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deo vodotoka: Grabovačka reka, Kamenička reka, Banjska reka, Prolomska reka i Obraška reka. Osim navedenih vodotokova ili njihovih delova u okviru ribarskog područja je i veštačko akumulacino jezero „Brestovac“ („Brestovačko jezero“ u daljem tekstu), kao i ostale vode manjeg kapaciteta u okviru granica Parka prirode „Radan“ </w:t>
      </w:r>
      <w:bookmarkStart w:id="0" w:name="_Hlk511716433"/>
      <w:bookmarkStart w:id="1" w:name="_Hlk511716687"/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Pr="000A4517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„Službeni glasnik RS“ br. 91/17</w:t>
      </w:r>
      <w:bookmarkEnd w:id="0"/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bookmarkEnd w:id="1"/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036A65" w:rsidRPr="000A4517" w:rsidRDefault="00036A65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>Granice ribarskog područja se podudaraju sa granicama Parka prirode „Radan“. Vode ribarskog područja koriste se za rekreativni ribolov.</w:t>
      </w:r>
    </w:p>
    <w:p w:rsidR="00036A65" w:rsidRPr="000A4517" w:rsidRDefault="00036A65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4517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 Granice ribarskog područja „Radan“ prikazane su i na karti (Slika 1.). </w:t>
      </w:r>
    </w:p>
    <w:p w:rsidR="00036A65" w:rsidRPr="000A4517" w:rsidRDefault="00036A65" w:rsidP="00036A6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RS"/>
        </w:rPr>
      </w:pPr>
    </w:p>
    <w:p w:rsidR="00036A65" w:rsidRPr="000A4517" w:rsidRDefault="00036A65" w:rsidP="00036A6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RS"/>
        </w:rPr>
      </w:pPr>
    </w:p>
    <w:p w:rsidR="00E52FAF" w:rsidRDefault="00E52FAF" w:rsidP="00036A6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RS"/>
        </w:rPr>
      </w:pPr>
    </w:p>
    <w:p w:rsidR="00E52FAF" w:rsidRDefault="00E52FAF" w:rsidP="00036A6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RS"/>
        </w:rPr>
      </w:pPr>
    </w:p>
    <w:p w:rsidR="00036A65" w:rsidRPr="000A4517" w:rsidRDefault="00036A65" w:rsidP="00036A6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RS"/>
        </w:rPr>
      </w:pPr>
      <w:bookmarkStart w:id="2" w:name="_GoBack"/>
      <w:bookmarkEnd w:id="2"/>
      <w:r w:rsidRPr="000A4517">
        <w:rPr>
          <w:rFonts w:ascii="Calibri" w:eastAsia="Calibri" w:hAnsi="Calibri" w:cs="Times New Roman"/>
          <w:noProof/>
          <w:lang w:val="sr-Latn-RS" w:eastAsia="sr-Latn-RS"/>
        </w:rPr>
        <w:lastRenderedPageBreak/>
        <w:drawing>
          <wp:inline distT="0" distB="0" distL="0" distR="0" wp14:anchorId="5B002CF8" wp14:editId="30CA1A89">
            <wp:extent cx="5753100" cy="2686050"/>
            <wp:effectExtent l="0" t="0" r="0" b="0"/>
            <wp:docPr id="2" name="fancybox-img" descr="http://toplickevesti.com/wp-content/uploads/2017/10/IMG_20171030_1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toplickevesti.com/wp-content/uploads/2017/10/IMG_20171030_110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65" w:rsidRPr="000A4517" w:rsidRDefault="00036A65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65" w:rsidRDefault="00036A65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</w:rPr>
        <w:t>Slika 1.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Granice ribarskog područja “Radan” </w:t>
      </w:r>
    </w:p>
    <w:p w:rsidR="00F21126" w:rsidRDefault="00F21126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1126" w:rsidRDefault="00F21126" w:rsidP="00F21126">
      <w:pPr>
        <w:spacing w:after="0" w:line="240" w:lineRule="auto"/>
        <w:ind w:left="115" w:right="115" w:firstLine="605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150C2E">
        <w:rPr>
          <w:rFonts w:ascii="Times New Roman" w:eastAsia="Times New Roman" w:hAnsi="Times New Roman"/>
          <w:sz w:val="24"/>
          <w:szCs w:val="24"/>
          <w:lang w:val="sr-Latn-CS"/>
        </w:rPr>
        <w:t>Na osnovu člana 17. Zakona o zaštiti i održivom korišćenju ribljeg fonda (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„</w:t>
      </w:r>
      <w:r w:rsidRPr="00150C2E">
        <w:rPr>
          <w:rFonts w:ascii="Times New Roman" w:eastAsia="Times New Roman" w:hAnsi="Times New Roman"/>
          <w:sz w:val="24"/>
          <w:szCs w:val="24"/>
          <w:lang w:val="sr-Latn-CS"/>
        </w:rPr>
        <w:t>Službeni glasnik RS“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br. 128/14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95/18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-dr.zakon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) korisnik ribarskog područja „Radan“ </w:t>
      </w:r>
      <w:r w:rsidRPr="00150C2E">
        <w:rPr>
          <w:rFonts w:ascii="Times New Roman" w:eastAsia="Times New Roman" w:hAnsi="Times New Roman"/>
          <w:sz w:val="24"/>
          <w:szCs w:val="24"/>
          <w:lang w:val="sr-Latn-CS"/>
        </w:rPr>
        <w:t xml:space="preserve">donosi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Godišnji p</w:t>
      </w:r>
      <w:r w:rsidRPr="00150C2E">
        <w:rPr>
          <w:rFonts w:ascii="Times New Roman" w:eastAsia="Times New Roman" w:hAnsi="Times New Roman"/>
          <w:sz w:val="24"/>
          <w:szCs w:val="24"/>
          <w:lang w:val="sr-Latn-CS"/>
        </w:rPr>
        <w:t>rogram upravl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janja ribarskim područjem „Radan</w:t>
      </w:r>
      <w:r w:rsidRPr="00150C2E">
        <w:rPr>
          <w:rFonts w:ascii="Times New Roman" w:eastAsia="Times New Roman" w:hAnsi="Times New Roman"/>
          <w:sz w:val="24"/>
          <w:szCs w:val="24"/>
          <w:lang w:val="sr-Latn-CS"/>
        </w:rPr>
        <w:t>“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za 2019. godinu</w:t>
      </w:r>
      <w:r w:rsidRPr="00150C2E">
        <w:rPr>
          <w:rFonts w:ascii="Times New Roman" w:eastAsia="Times New Roman" w:hAnsi="Times New Roman"/>
          <w:sz w:val="24"/>
          <w:szCs w:val="24"/>
          <w:lang w:val="sr-Latn-CS"/>
        </w:rPr>
        <w:t>.</w:t>
      </w:r>
    </w:p>
    <w:p w:rsidR="00F21126" w:rsidRPr="00AA6D7F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F21126" w:rsidRPr="00724DA2" w:rsidRDefault="00F21126" w:rsidP="00F21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24DA2">
        <w:rPr>
          <w:rFonts w:ascii="Times New Roman" w:eastAsia="Times New Roman" w:hAnsi="Times New Roman"/>
          <w:sz w:val="24"/>
          <w:szCs w:val="24"/>
          <w:lang w:val="sr-Latn-CS"/>
        </w:rPr>
        <w:t>Članom 19. ovog Zakona predviđeno je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da g</w:t>
      </w:r>
      <w:r w:rsidRPr="00724DA2">
        <w:rPr>
          <w:rFonts w:ascii="Times New Roman" w:eastAsia="Times New Roman" w:hAnsi="Times New Roman"/>
          <w:sz w:val="24"/>
          <w:szCs w:val="24"/>
          <w:lang w:val="sr-Latn-CS"/>
        </w:rPr>
        <w:t>odišnji program upravljanja ribarskim područjem sadrži:</w:t>
      </w:r>
    </w:p>
    <w:p w:rsidR="00F21126" w:rsidRPr="00215F2E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CS"/>
        </w:rPr>
      </w:pPr>
    </w:p>
    <w:p w:rsidR="00F21126" w:rsidRPr="00215F2E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Procena</w:t>
      </w:r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 biomase i ribolovnog pritiska </w:t>
      </w:r>
      <w:proofErr w:type="gramStart"/>
      <w:r w:rsidRPr="00215F2E">
        <w:rPr>
          <w:rFonts w:ascii="Times New Roman" w:eastAsia="Times New Roman" w:hAnsi="Times New Roman"/>
          <w:b/>
          <w:sz w:val="24"/>
          <w:szCs w:val="24"/>
        </w:rPr>
        <w:t>na</w:t>
      </w:r>
      <w:proofErr w:type="gramEnd"/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 riblji fond na osnovu godišnjih statističkih pokazatelja ulova ribolovaca i ribara;</w:t>
      </w:r>
    </w:p>
    <w:p w:rsidR="00F21126" w:rsidRPr="00215F2E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D</w:t>
      </w:r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ozvoljeni godišnji i dnevni izlov ribe po vrstama; </w:t>
      </w:r>
    </w:p>
    <w:p w:rsidR="00F21126" w:rsidRPr="00215F2E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D</w:t>
      </w:r>
      <w:r w:rsidRPr="00215F2E">
        <w:rPr>
          <w:rFonts w:ascii="Times New Roman" w:eastAsia="Times New Roman" w:hAnsi="Times New Roman"/>
          <w:b/>
          <w:sz w:val="24"/>
          <w:szCs w:val="24"/>
        </w:rPr>
        <w:t>inamik</w:t>
      </w:r>
      <w:r>
        <w:rPr>
          <w:rFonts w:ascii="Times New Roman" w:eastAsia="Times New Roman" w:hAnsi="Times New Roman"/>
          <w:b/>
          <w:sz w:val="24"/>
          <w:szCs w:val="24"/>
        </w:rPr>
        <w:t>a</w:t>
      </w:r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 poribljavanja ribarskog područja po vrstama i količini riba, vremenu i mestu poribljavanja, kao i potrebna novčana sredstva;</w:t>
      </w:r>
    </w:p>
    <w:p w:rsidR="00F21126" w:rsidRPr="00215F2E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M</w:t>
      </w:r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ere i način zaštite i održivog korišćenja ribljeg </w:t>
      </w:r>
      <w:proofErr w:type="gramStart"/>
      <w:r w:rsidRPr="00215F2E">
        <w:rPr>
          <w:rFonts w:ascii="Times New Roman" w:eastAsia="Times New Roman" w:hAnsi="Times New Roman"/>
          <w:b/>
          <w:sz w:val="24"/>
          <w:szCs w:val="24"/>
        </w:rPr>
        <w:t>fonda</w:t>
      </w:r>
      <w:proofErr w:type="gramEnd"/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; </w:t>
      </w:r>
    </w:p>
    <w:p w:rsidR="00F21126" w:rsidRPr="00215F2E" w:rsidRDefault="00F21126" w:rsidP="00F211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P</w:t>
      </w:r>
      <w:r w:rsidRPr="00215F2E">
        <w:rPr>
          <w:rFonts w:ascii="Times New Roman" w:eastAsia="Times New Roman" w:hAnsi="Times New Roman"/>
          <w:b/>
          <w:sz w:val="24"/>
          <w:szCs w:val="24"/>
        </w:rPr>
        <w:t xml:space="preserve">rogram edukacije rekreativnih ribolovaca; </w:t>
      </w:r>
    </w:p>
    <w:p w:rsidR="00F21126" w:rsidRPr="00F21126" w:rsidRDefault="00F21126" w:rsidP="000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7241" w:rsidRDefault="00AC7241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126" w:rsidRPr="00E86847" w:rsidRDefault="00F21126" w:rsidP="00591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C5F" w:rsidRPr="00383C5F" w:rsidRDefault="00383C5F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383C5F" w:rsidRPr="004F36F4" w:rsidRDefault="00383C5F" w:rsidP="0038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383C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PROCENA BIOMASE I RIBOLOVNOG PRITISKA NA RIBLJI FOND </w:t>
      </w:r>
      <w:r w:rsidR="004F36F4">
        <w:rPr>
          <w:rFonts w:ascii="Times New Roman" w:eastAsia="Times New Roman" w:hAnsi="Times New Roman" w:cs="Times New Roman"/>
          <w:b/>
          <w:sz w:val="28"/>
          <w:szCs w:val="28"/>
        </w:rPr>
        <w:t>NA OSNOVU GODI</w:t>
      </w:r>
      <w:r w:rsidR="004F36F4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ŠNJIH STATISTIČKIH POKAZATELJA ULOVA RIBOLOVACA I RIBARA</w:t>
      </w:r>
    </w:p>
    <w:p w:rsidR="00383C5F" w:rsidRPr="00383C5F" w:rsidRDefault="00383C5F" w:rsidP="00AE2457">
      <w:pPr>
        <w:spacing w:after="0" w:line="240" w:lineRule="auto"/>
        <w:ind w:firstLine="708"/>
        <w:jc w:val="both"/>
        <w:rPr>
          <w:rFonts w:ascii="YuTimes" w:eastAsia="Times New Roman" w:hAnsi="YuTimes" w:cs="Times New Roman"/>
          <w:sz w:val="24"/>
          <w:szCs w:val="24"/>
        </w:rPr>
      </w:pPr>
    </w:p>
    <w:p w:rsidR="00244F0C" w:rsidRDefault="00244F0C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244F0C" w:rsidRDefault="00244F0C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31FD2" w:rsidRDefault="00731FD2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31FD2" w:rsidRPr="00731FD2" w:rsidRDefault="00731FD2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383C5F" w:rsidRPr="00383C5F" w:rsidRDefault="00383C5F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383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Procena biomase i prirasta ribljeg fonda</w:t>
      </w:r>
    </w:p>
    <w:p w:rsidR="00731FD2" w:rsidRDefault="00731FD2" w:rsidP="0073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1FD2" w:rsidRDefault="00731FD2" w:rsidP="0073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1FD2" w:rsidRPr="00731FD2" w:rsidRDefault="00731FD2" w:rsidP="0073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FD2">
        <w:rPr>
          <w:rFonts w:ascii="Times New Roman" w:eastAsia="Times New Roman" w:hAnsi="Times New Roman" w:cs="Times New Roman"/>
          <w:b/>
          <w:sz w:val="24"/>
          <w:szCs w:val="24"/>
        </w:rPr>
        <w:t xml:space="preserve">Zbog nedostataka podataka o ulovu, s obzirom </w:t>
      </w:r>
      <w:proofErr w:type="gramStart"/>
      <w:r w:rsidRPr="00731FD2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gramEnd"/>
      <w:r w:rsidRPr="00731FD2">
        <w:rPr>
          <w:rFonts w:ascii="Times New Roman" w:eastAsia="Times New Roman" w:hAnsi="Times New Roman" w:cs="Times New Roman"/>
          <w:b/>
          <w:sz w:val="24"/>
          <w:szCs w:val="24"/>
        </w:rPr>
        <w:t xml:space="preserve"> činjenicu da je park prirode skoro ustanovljen, konkretnije podatke vezane za procene realnog pritiska ćemo imati nakon prikupljanja E1 obrazaca i podataka o radu ribočuvarske službe.</w:t>
      </w:r>
    </w:p>
    <w:p w:rsidR="00383C5F" w:rsidRPr="00383C5F" w:rsidRDefault="00383C5F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31FD2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F74E7" w:rsidRDefault="00731FD2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Ekološki status navedenih reka, a nešto značajnijih </w:t>
      </w:r>
      <w:proofErr w:type="gramStart"/>
      <w:r w:rsidR="000F74E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 aspekta rekreativnog ribolova se može proceniti kao dobar i to sa srednjim nivoom pouzdanosti. </w:t>
      </w:r>
    </w:p>
    <w:p w:rsidR="000F74E7" w:rsidRDefault="00731FD2" w:rsidP="007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 xml:space="preserve">Akumulacija “Brestovačko jezero” je 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umereno </w:t>
      </w:r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 xml:space="preserve">eutrofnog karaktera, a ekološki potencijal akumulacije je </w:t>
      </w:r>
      <w:proofErr w:type="gramStart"/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 xml:space="preserve"> osnovu srednjeg nivoa pouzdanosti ocenjen kao umeren. </w:t>
      </w:r>
    </w:p>
    <w:p w:rsidR="000F74E7" w:rsidRDefault="00731FD2" w:rsidP="007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 xml:space="preserve">Sastav ribljeg </w:t>
      </w:r>
      <w:proofErr w:type="gramStart"/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gramEnd"/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 xml:space="preserve"> na ribarskom području "Radan" prikazan je </w:t>
      </w:r>
      <w:r w:rsidR="009840CB">
        <w:rPr>
          <w:rFonts w:ascii="Times New Roman" w:eastAsia="Times New Roman" w:hAnsi="Times New Roman" w:cs="Times New Roman"/>
          <w:sz w:val="24"/>
          <w:szCs w:val="24"/>
        </w:rPr>
        <w:t>u tabeli 1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1FD2" w:rsidRDefault="00731FD2" w:rsidP="007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1FD2" w:rsidRDefault="00731FD2" w:rsidP="007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1FD2" w:rsidRPr="00731FD2" w:rsidRDefault="00731FD2" w:rsidP="007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4E7" w:rsidRPr="000A451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Pr="000A4517" w:rsidRDefault="000F74E7" w:rsidP="000F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Tabela </w:t>
      </w:r>
      <w:r w:rsidR="009840CB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0A45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 Riblje vrste u ribolovnim vodama ribarskog područja „Radan”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85"/>
      </w:tblGrid>
      <w:tr w:rsidR="000F74E7" w:rsidRPr="000A4517" w:rsidTr="002E547B">
        <w:trPr>
          <w:cantSplit/>
          <w:trHeight w:val="656"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FF"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FAMILIJA  I  VRSTA RIBE</w:t>
            </w:r>
          </w:p>
        </w:tc>
        <w:tc>
          <w:tcPr>
            <w:tcW w:w="47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NARODNO  IME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2E547B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45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CYPRINIDAE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ŠARANKE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+</w:t>
            </w:r>
            <w:r w:rsidRPr="000A451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Cyprinus carpio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aran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Barbus balcanicus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otočna mrena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keepNext/>
              <w:numPr>
                <w:ilvl w:val="0"/>
                <w:numId w:val="10"/>
              </w:num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0A45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Chondrostoma nasus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A4517">
              <w:rPr>
                <w:rFonts w:ascii="Times New Roman" w:eastAsia="Times New Roman" w:hAnsi="Times New Roman" w:cs="Times New Roman"/>
                <w:sz w:val="20"/>
                <w:szCs w:val="20"/>
              </w:rPr>
              <w:t>kobalj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keepNext/>
              <w:numPr>
                <w:ilvl w:val="0"/>
                <w:numId w:val="10"/>
              </w:num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+Squalius</w:t>
            </w:r>
            <w:r w:rsidRPr="000A45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cephalus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</w:t>
            </w:r>
            <w:r w:rsidRPr="000A45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len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keepNext/>
              <w:numPr>
                <w:ilvl w:val="0"/>
                <w:numId w:val="10"/>
              </w:num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45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Scardinius erythrophthalmus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0A4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rvenperka 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keepNext/>
              <w:numPr>
                <w:ilvl w:val="0"/>
                <w:numId w:val="10"/>
              </w:num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45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Rutilus rutilus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A4517">
              <w:rPr>
                <w:rFonts w:ascii="Times New Roman" w:eastAsia="Times New Roman" w:hAnsi="Times New Roman" w:cs="Times New Roman"/>
                <w:sz w:val="20"/>
                <w:szCs w:val="20"/>
              </w:rPr>
              <w:t>odorka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Alburnus alburnus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uklij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a, kaugler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Blicca bjoerkna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rupatica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+Ballerus sapa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rnooka deverika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+Ballerus</w:t>
            </w:r>
            <w:r w:rsidRPr="000A451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ballerus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esega, špicerka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++</w:t>
            </w:r>
            <w:r w:rsidRPr="000A451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Rhodeus amarus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             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latika, gavčica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keepNext/>
              <w:numPr>
                <w:ilvl w:val="0"/>
                <w:numId w:val="10"/>
              </w:num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A451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Carassius gibelio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A4517">
              <w:rPr>
                <w:rFonts w:ascii="Times New Roman" w:eastAsia="Times New Roman" w:hAnsi="Times New Roman" w:cs="Times New Roman"/>
                <w:sz w:val="20"/>
                <w:szCs w:val="20"/>
              </w:rPr>
              <w:t>rebrni karaš – babuška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Pseudorasbora parva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            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murski čebačok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Ctenopharyngodon idella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     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eli amur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Hypophthalmichthys molitrix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eli tolstolobik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Aristichthys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nobilis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              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ivi tolstolobik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Silurus glanis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om 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+Alburnoides bipunctatus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dvoprugasta uklija,pliska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Gobio gobio </w:t>
            </w:r>
          </w:p>
        </w:tc>
        <w:tc>
          <w:tcPr>
            <w:tcW w:w="4785" w:type="dxa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krkuša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++Cobitis taenia</w:t>
            </w:r>
          </w:p>
        </w:tc>
        <w:tc>
          <w:tcPr>
            <w:tcW w:w="4785" w:type="dxa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vijun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Batbatula barbatula</w:t>
            </w:r>
          </w:p>
        </w:tc>
        <w:tc>
          <w:tcPr>
            <w:tcW w:w="4785" w:type="dxa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brkica 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ICTALURIDAE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PATULjASTI  SOMOVI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Ameiurus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spp.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                      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verglan, američki patuljasti som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ESOCIDAE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ŠTUKE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Esox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Lucius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tuka 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PERCIDAE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GRGEČI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Perca fluviatilis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rgeč, bandar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</w:t>
            </w:r>
            <w:r w:rsidRPr="000A451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Sander lucioperca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muđ 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CENTRACHIDAE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BASOVI</w:t>
            </w:r>
          </w:p>
        </w:tc>
      </w:tr>
      <w:tr w:rsidR="000F74E7" w:rsidRPr="000A4517" w:rsidTr="002E547B">
        <w:trPr>
          <w:cantSplit/>
          <w:jc w:val="center"/>
        </w:trPr>
        <w:tc>
          <w:tcPr>
            <w:tcW w:w="4781" w:type="dxa"/>
            <w:vAlign w:val="center"/>
          </w:tcPr>
          <w:p w:rsidR="000F74E7" w:rsidRPr="000A4517" w:rsidRDefault="000F74E7" w:rsidP="000F74E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451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Lepomis gibbosus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A</w:t>
            </w:r>
          </w:p>
        </w:tc>
        <w:tc>
          <w:tcPr>
            <w:tcW w:w="4785" w:type="dxa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0A45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unčica </w:t>
            </w:r>
          </w:p>
        </w:tc>
      </w:tr>
      <w:tr w:rsidR="000F74E7" w:rsidRPr="000A4517" w:rsidTr="002E547B">
        <w:trPr>
          <w:cantSplit/>
          <w:trHeight w:val="463"/>
          <w:jc w:val="center"/>
        </w:trPr>
        <w:tc>
          <w:tcPr>
            <w:tcW w:w="9566" w:type="dxa"/>
            <w:gridSpan w:val="2"/>
            <w:vAlign w:val="center"/>
          </w:tcPr>
          <w:p w:rsidR="000F74E7" w:rsidRPr="0075662E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</w:pP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++ strogo zaštićene riblje vrste u ribolovnim vodama ribarskog područja „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Radan</w:t>
            </w: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“ (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2</w:t>
            </w: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);  + zaštićene riblje vrste (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11</w:t>
            </w: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);</w:t>
            </w:r>
          </w:p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 xml:space="preserve">                                                 A - alohtone vrste</w:t>
            </w: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7</w:t>
            </w:r>
            <w:r w:rsidRPr="0075662E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  <w:t>)</w:t>
            </w:r>
          </w:p>
          <w:p w:rsidR="000F74E7" w:rsidRDefault="000F74E7" w:rsidP="002E5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0F74E7" w:rsidRPr="000A4517" w:rsidRDefault="000F74E7" w:rsidP="000F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0F74E7" w:rsidP="000F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 vodama ribarskog područja “Radan” zabeleženo je prisustvo 26 ribljih vrsta.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Najveći broj vrsta (23) nastanjuje Brestovačku akumulaciju, dok je u rekama prisitno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 do 6 vrsta. Najznačajnije ribolovne vrste is Brestovačkog jezera su: smuđ, som, štuka, šaran i deverika. U rekama su značajne ribolovne vrste: klen i potočna mrena. </w:t>
      </w:r>
    </w:p>
    <w:p w:rsidR="000F74E7" w:rsidRPr="000A4517" w:rsidRDefault="000F74E7" w:rsidP="000F74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4E7" w:rsidRPr="00B34A1B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Preračunavanja biomase i realne produkcije vršena su na osnovu podataka iz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lovnih uzoraka. Realna produkcija procenjena je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prema metodologiji koju daje Ricker (1958). Potencijalna produkcija određena je prema metodologiji Lager-Huet (1964).</w:t>
      </w:r>
      <w:r w:rsidRPr="00B3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4A1B">
        <w:rPr>
          <w:rFonts w:ascii="Times New Roman" w:eastAsia="Times New Roman" w:hAnsi="Times New Roman" w:cs="Times New Roman"/>
          <w:sz w:val="24"/>
          <w:szCs w:val="24"/>
        </w:rPr>
        <w:t xml:space="preserve">Prikazani su 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>podaci</w:t>
      </w:r>
      <w:r w:rsidRPr="00B34A1B">
        <w:rPr>
          <w:rFonts w:ascii="Times New Roman" w:eastAsia="Times New Roman" w:hAnsi="Times New Roman" w:cs="Times New Roman"/>
          <w:sz w:val="24"/>
          <w:szCs w:val="24"/>
        </w:rPr>
        <w:t xml:space="preserve"> za ribolovno zna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>čajne i brojne vrste, dok vrste koje su nalažene pojedinačno nisu obrađivane (pojedinačan nalaz vrsta prikazan je samo u kvalitativnom spisku ribljih vrsta).</w:t>
      </w:r>
      <w:proofErr w:type="gramEnd"/>
    </w:p>
    <w:p w:rsidR="000F74E7" w:rsidRPr="000A4517" w:rsidRDefault="000F74E7" w:rsidP="000F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4E7" w:rsidRPr="000A4517" w:rsidRDefault="000F74E7" w:rsidP="000F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Rezultati procene</w:t>
      </w:r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 biomase, realne i potencijalne produkcije za važne ribolovne vrste riba ribarskog područja, </w:t>
      </w:r>
      <w:r w:rsidR="009840CB">
        <w:rPr>
          <w:rFonts w:ascii="Times New Roman" w:eastAsia="Calibri" w:hAnsi="Times New Roman" w:cs="Times New Roman"/>
          <w:sz w:val="24"/>
          <w:szCs w:val="24"/>
        </w:rPr>
        <w:t>prikazani su u tabeli 2</w:t>
      </w:r>
      <w:r w:rsidRPr="000A45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F74E7" w:rsidRPr="000A451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Pr="000A4517" w:rsidRDefault="009840CB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Tabela 2</w:t>
      </w:r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74E7" w:rsidRPr="000A4517">
        <w:rPr>
          <w:rFonts w:ascii="Times New Roman" w:eastAsia="Times New Roman" w:hAnsi="Times New Roman" w:cs="Times New Roman"/>
          <w:sz w:val="24"/>
          <w:szCs w:val="24"/>
        </w:rPr>
        <w:t xml:space="preserve"> Biomasa i produkcija ribljih vrsta u Brestovačkom jezeru (podaci 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iz prethodnog perioda 2007-12) i podaci </w:t>
      </w:r>
      <w:proofErr w:type="gramStart"/>
      <w:r w:rsidR="000F74E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 osnovu uzorka iz 2018.godine (boldirano)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1238"/>
        <w:gridCol w:w="1171"/>
        <w:gridCol w:w="1085"/>
        <w:gridCol w:w="1165"/>
        <w:gridCol w:w="1114"/>
        <w:gridCol w:w="1316"/>
      </w:tblGrid>
      <w:tr w:rsidR="000F74E7" w:rsidRPr="000A4517" w:rsidTr="002E547B">
        <w:trPr>
          <w:trHeight w:val="595"/>
        </w:trPr>
        <w:tc>
          <w:tcPr>
            <w:tcW w:w="2451" w:type="dxa"/>
            <w:vMerge w:val="restart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Riblja vrsta</w:t>
            </w:r>
          </w:p>
        </w:tc>
        <w:tc>
          <w:tcPr>
            <w:tcW w:w="2409" w:type="dxa"/>
            <w:gridSpan w:val="2"/>
            <w:vAlign w:val="center"/>
          </w:tcPr>
          <w:p w:rsidR="000F74E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Biomasa</w:t>
            </w:r>
          </w:p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(kg/ha)</w:t>
            </w:r>
          </w:p>
        </w:tc>
        <w:tc>
          <w:tcPr>
            <w:tcW w:w="2250" w:type="dxa"/>
            <w:gridSpan w:val="2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Realna produkcija (kg/ha)</w:t>
            </w:r>
          </w:p>
        </w:tc>
        <w:tc>
          <w:tcPr>
            <w:tcW w:w="2430" w:type="dxa"/>
            <w:gridSpan w:val="2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Potencijalna produkcija (kg/ha)</w:t>
            </w:r>
          </w:p>
        </w:tc>
      </w:tr>
      <w:tr w:rsidR="000F74E7" w:rsidRPr="000A4517" w:rsidTr="002E547B">
        <w:trPr>
          <w:trHeight w:val="230"/>
        </w:trPr>
        <w:tc>
          <w:tcPr>
            <w:tcW w:w="2451" w:type="dxa"/>
            <w:vMerge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2007/12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2007/12</w:t>
            </w:r>
          </w:p>
        </w:tc>
        <w:tc>
          <w:tcPr>
            <w:tcW w:w="116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2007/12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klija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6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316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abuška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21,35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316" w:type="dxa"/>
            <w:vAlign w:val="center"/>
          </w:tcPr>
          <w:p w:rsidR="000F74E7" w:rsidRPr="00B20521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18,55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aran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11,83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1316" w:type="dxa"/>
            <w:vAlign w:val="center"/>
          </w:tcPr>
          <w:p w:rsidR="000F74E7" w:rsidRPr="00B20521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3,29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34,63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13,34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316" w:type="dxa"/>
            <w:vAlign w:val="center"/>
          </w:tcPr>
          <w:p w:rsidR="000F74E7" w:rsidRPr="00B20521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9,64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skobalj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20,46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14,21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F74E7" w:rsidRPr="00B20521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odorka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16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316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rupatica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23,74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316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everika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53,33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≈3,5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36,71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316" w:type="dxa"/>
            <w:vAlign w:val="center"/>
          </w:tcPr>
          <w:p w:rsidR="000F74E7" w:rsidRPr="00DA2E49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14,85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 tolstolobik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466,6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F74E7" w:rsidRPr="00DA2E49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andar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≈1,78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1316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smuđ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64,36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F74E7" w:rsidRPr="003F6D44" w:rsidRDefault="000F74E7" w:rsidP="002E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17,93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144,62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717,81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65,23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,81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316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6D4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F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F74E7" w:rsidRPr="000A4517" w:rsidTr="002E547B">
        <w:trPr>
          <w:trHeight w:val="255"/>
        </w:trPr>
        <w:tc>
          <w:tcPr>
            <w:tcW w:w="2451" w:type="dxa"/>
            <w:vAlign w:val="bottom"/>
          </w:tcPr>
          <w:p w:rsidR="000F74E7" w:rsidRPr="000A451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CELO JEZERO (kg)</w:t>
            </w:r>
          </w:p>
        </w:tc>
        <w:tc>
          <w:tcPr>
            <w:tcW w:w="1238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11 545,6</w:t>
            </w:r>
          </w:p>
        </w:tc>
        <w:tc>
          <w:tcPr>
            <w:tcW w:w="1171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57 424,8</w:t>
            </w:r>
          </w:p>
        </w:tc>
        <w:tc>
          <w:tcPr>
            <w:tcW w:w="1085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5 218,4</w:t>
            </w:r>
          </w:p>
        </w:tc>
        <w:tc>
          <w:tcPr>
            <w:tcW w:w="1165" w:type="dxa"/>
            <w:vAlign w:val="center"/>
          </w:tcPr>
          <w:p w:rsidR="000F74E7" w:rsidRPr="00683F7B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8944,8</w:t>
            </w:r>
          </w:p>
        </w:tc>
        <w:tc>
          <w:tcPr>
            <w:tcW w:w="1114" w:type="dxa"/>
            <w:vAlign w:val="center"/>
          </w:tcPr>
          <w:p w:rsidR="000F74E7" w:rsidRPr="000A451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517">
              <w:rPr>
                <w:rFonts w:ascii="Times New Roman" w:eastAsia="Times New Roman" w:hAnsi="Times New Roman" w:cs="Times New Roman"/>
                <w:sz w:val="24"/>
                <w:szCs w:val="24"/>
              </w:rPr>
              <w:t>6 116</w:t>
            </w:r>
          </w:p>
        </w:tc>
        <w:tc>
          <w:tcPr>
            <w:tcW w:w="1316" w:type="dxa"/>
            <w:vAlign w:val="center"/>
          </w:tcPr>
          <w:p w:rsidR="000F74E7" w:rsidRPr="007422D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42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16 000</w:t>
            </w:r>
          </w:p>
        </w:tc>
      </w:tr>
    </w:tbl>
    <w:p w:rsidR="000F74E7" w:rsidRPr="000A451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Pr="00364FC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Na osnovu prikazanih rezultata može se konstantovati zadovoljavajuće stanje ribljeg </w:t>
      </w: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u akum</w:t>
      </w:r>
      <w:r>
        <w:rPr>
          <w:rFonts w:ascii="Times New Roman" w:eastAsia="Times New Roman" w:hAnsi="Times New Roman" w:cs="Times New Roman"/>
          <w:sz w:val="24"/>
          <w:szCs w:val="24"/>
        </w:rPr>
        <w:t>ulaciji “Brestovačko jezero”. Zapa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žaje se promene u kvalitativnom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pre svega kvantitativnom sastavu ribljeg fonda u odnosu na prethodni period. Prethodna poribljavanja akumulacije smuđem su dala dobre rezultate. Smuđ je dominantna i ribolovno najznačajnija grabljiva vrsta u akumulaciji. Takodje, zapaža se povećanje biomase skobalja a posebno deverike. Šaran kao značajna ribolovna vrsta je povećao svoju biomasu za 50%. Odnos realne i potencijalne produkcije povoljan je za sve riblje vrste a posebno za deveriku, gde se zapaža veća realna produkcija od potencijalne. Od alohtonih vrsta, svojom biomasom dominira beli tolstolobik i babuška. </w:t>
      </w:r>
    </w:p>
    <w:p w:rsidR="000F74E7" w:rsidRPr="000A451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Kvantitativni pokazatelji (abundanca, biomasa, realna i potencijalna produkcija) ribljeg fonda u rekama RP “</w:t>
      </w:r>
      <w:r w:rsidR="009840CB">
        <w:rPr>
          <w:rFonts w:ascii="Times New Roman" w:eastAsia="Times New Roman" w:hAnsi="Times New Roman" w:cs="Times New Roman"/>
          <w:sz w:val="24"/>
          <w:szCs w:val="24"/>
        </w:rPr>
        <w:t>Radan” prikazani su u tabelama 3</w:t>
      </w:r>
      <w:proofErr w:type="gramStart"/>
      <w:r w:rsidR="009840CB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="009840CB">
        <w:rPr>
          <w:rFonts w:ascii="Times New Roman" w:eastAsia="Times New Roman" w:hAnsi="Times New Roman" w:cs="Times New Roman"/>
          <w:sz w:val="24"/>
          <w:szCs w:val="24"/>
        </w:rPr>
        <w:t xml:space="preserve"> i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Pr="004F0942" w:rsidRDefault="009840CB" w:rsidP="000F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Tabela 3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 Riblji fond Prolomske reke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984"/>
        <w:gridCol w:w="2331"/>
        <w:gridCol w:w="2880"/>
      </w:tblGrid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Biomasa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Realna produkcija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Potencijalna produkcija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potočna 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mrena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7,58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6,88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14,46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4F0942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brkica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0,08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0,15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oprugasta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uklija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0,2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0,38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7,86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6,88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 w:rsidRPr="00F20C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Ukupno za ceo vodotok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86,46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75,7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165</w:t>
            </w:r>
          </w:p>
        </w:tc>
      </w:tr>
    </w:tbl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9840CB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Tabela 4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 Riblji fond reke Kosanice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984"/>
        <w:gridCol w:w="2331"/>
        <w:gridCol w:w="2880"/>
      </w:tblGrid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Biomasa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Realna produkcija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Potencijalna produkcija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395835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klen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395835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13,4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0F74E7" w:rsidRPr="00395835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15,12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74E7" w:rsidRPr="00F16AEA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14,7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potočna 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mrena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4,34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4,76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4F0942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brkica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0,08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0,08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oprugasta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uklija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3,24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3,55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uklija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0,3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0,32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krkuša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1,28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1,4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vijun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0,14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0,15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22,78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15,12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C07F82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r-Latn-RS"/>
              </w:rPr>
            </w:pPr>
            <w:r w:rsidRPr="00F20C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Ukupno za ceo vodotok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296,14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196,5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325</w:t>
            </w:r>
          </w:p>
        </w:tc>
      </w:tr>
    </w:tbl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9840CB" w:rsidP="000F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Tabela 5</w:t>
      </w:r>
      <w:r w:rsidR="000F74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74E7">
        <w:rPr>
          <w:rFonts w:ascii="Times New Roman" w:eastAsia="Times New Roman" w:hAnsi="Times New Roman" w:cs="Times New Roman"/>
          <w:sz w:val="24"/>
          <w:szCs w:val="24"/>
        </w:rPr>
        <w:t xml:space="preserve"> Riblji fond reke Dobrodolske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984"/>
        <w:gridCol w:w="2331"/>
        <w:gridCol w:w="2880"/>
      </w:tblGrid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Biomasa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Realna produkcija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Potencijalna produkcija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kg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/km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395835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klen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395835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4,26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0F74E7" w:rsidRPr="00395835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74E7" w:rsidRPr="00F16AEA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2,56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potočna 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>mrena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4,42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2,66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oprugasta</w:t>
            </w:r>
            <w:r w:rsidRPr="00DE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uklija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23,9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8,5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14,39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krkuša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0,36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0,21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lastRenderedPageBreak/>
              <w:t>vijun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0,26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0,15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DE31F0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33,2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06064C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8,5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4F0942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0F74E7" w:rsidRPr="00DE31F0" w:rsidTr="002E547B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0F74E7" w:rsidRPr="00C07F82" w:rsidRDefault="000F74E7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r-Latn-RS"/>
              </w:rPr>
            </w:pPr>
            <w:r w:rsidRPr="00F20C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Ukupno za ceo vodotok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389,4</w:t>
            </w: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102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0F74E7" w:rsidRPr="00DE31F0" w:rsidRDefault="000F74E7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240</w:t>
            </w:r>
          </w:p>
        </w:tc>
      </w:tr>
    </w:tbl>
    <w:p w:rsidR="000F74E7" w:rsidRDefault="000F74E7" w:rsidP="000F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Default="000F74E7" w:rsidP="000F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Riblji fond reka je zbog njihovog malog vodnog kapaciteta relativno malo ribolovno značajan.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Dominiraju klen, potočna mrena i dvopruga uklija.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Klen i potočna mrena uglavnom ne dostižu lovnu dužinu.</w:t>
      </w:r>
      <w:proofErr w:type="gramEnd"/>
    </w:p>
    <w:p w:rsidR="00DA68B3" w:rsidRPr="00DA68B3" w:rsidRDefault="000F74E7" w:rsidP="00731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A68B3" w:rsidRPr="00DA68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8B3" w:rsidRDefault="00DA68B3" w:rsidP="00957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8B3" w:rsidRDefault="00DA68B3" w:rsidP="00957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C5F" w:rsidRPr="00957E86" w:rsidRDefault="00383C5F" w:rsidP="00957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83C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383C5F" w:rsidRPr="00383C5F" w:rsidRDefault="00383C5F" w:rsidP="00383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3C5F" w:rsidRPr="00383C5F" w:rsidRDefault="00383C5F" w:rsidP="00383C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C5F" w:rsidRPr="00383C5F" w:rsidRDefault="00383C5F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C5F">
        <w:rPr>
          <w:rFonts w:ascii="Times New Roman" w:eastAsia="Times New Roman" w:hAnsi="Times New Roman" w:cs="Times New Roman"/>
          <w:b/>
          <w:sz w:val="24"/>
          <w:szCs w:val="24"/>
        </w:rPr>
        <w:t xml:space="preserve">2. DOZVOLJENI GODIŠNJI I DNEVNI IZLOV RIBE PO VRSTAMA </w:t>
      </w:r>
    </w:p>
    <w:p w:rsidR="005F4657" w:rsidRDefault="005F4657" w:rsidP="005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20F" w:rsidRDefault="00D4720F" w:rsidP="005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20F">
        <w:rPr>
          <w:rFonts w:ascii="Times New Roman" w:eastAsia="Times New Roman" w:hAnsi="Times New Roman" w:cs="Times New Roman"/>
          <w:sz w:val="24"/>
          <w:szCs w:val="24"/>
        </w:rPr>
        <w:t xml:space="preserve">Dozvoljeni godišnji ulov riba (okvir ribolova, žetva) zasnovan je </w:t>
      </w:r>
      <w:proofErr w:type="gramStart"/>
      <w:r w:rsidRPr="00D472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4720F">
        <w:rPr>
          <w:rFonts w:ascii="Times New Roman" w:eastAsia="Times New Roman" w:hAnsi="Times New Roman" w:cs="Times New Roman"/>
          <w:sz w:val="24"/>
          <w:szCs w:val="24"/>
        </w:rPr>
        <w:t xml:space="preserve"> sadašnjem stanju ribljeg fonda, godišnjem prinosu i količini koja se može godišnje izloviti, a da se sačuva osnovni riblji potencijal.</w:t>
      </w:r>
    </w:p>
    <w:p w:rsidR="00D31BE8" w:rsidRDefault="00D31BE8" w:rsidP="005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C2" w:rsidRDefault="006340C2" w:rsidP="005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47B" w:rsidRDefault="002E547B" w:rsidP="002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Na osnovu 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podataka o stanju ribljeg fonda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tabeli koja sledi</w:t>
      </w:r>
      <w:r w:rsidRPr="00B34A1B"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su prikazane dozvoljene količine godišnjeg i dnevnog ulova. Pri ovoj proceni, a u cilju maksimalne zaštite i održavanja vitalnosti populacija riba za prirodnu reprodukciju, prikazane dozvoljene količine ulova prosečno ne prelaze 70% od ukupnog godišnjeg prinosa biomase populacija riba po kg/km ili kg/ha.  Pri proceni dnevne i godišnje stope ulova pošlo se od ranijih procena da na ribolovnim vodama prosečno tokom godine peca oko 50 ribolovaca, prosečno 40 dana, i sa maksimalnim dnevnim ulovom od 5kg. Pri ovakvoj projekciji na ribarskom području se tokom godine izlovi maksimalno 10 tona razne ribe.</w:t>
      </w:r>
    </w:p>
    <w:p w:rsidR="002E547B" w:rsidRDefault="002E547B" w:rsidP="002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E547B" w:rsidRPr="00B34A1B" w:rsidRDefault="002E547B" w:rsidP="002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E547B" w:rsidRDefault="002E547B" w:rsidP="002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Imajući u vidu navedeno stanje ribljeg f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onda, propisuje se režim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ribolova kao </w:t>
      </w:r>
      <w:r w:rsidR="009840CB">
        <w:rPr>
          <w:rFonts w:ascii="Times New Roman" w:eastAsia="Times New Roman" w:hAnsi="Times New Roman" w:cs="Times New Roman"/>
          <w:sz w:val="24"/>
          <w:szCs w:val="24"/>
          <w:lang w:val="sr-Latn-CS"/>
        </w:rPr>
        <w:t>u tabeli 6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E547B" w:rsidRPr="00B34A1B" w:rsidRDefault="002E547B" w:rsidP="002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E547B" w:rsidRPr="00B34A1B" w:rsidRDefault="002E547B" w:rsidP="002E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9840CB">
        <w:rPr>
          <w:rFonts w:ascii="Times New Roman" w:eastAsia="Times New Roman" w:hAnsi="Times New Roman" w:cs="Times New Roman"/>
          <w:sz w:val="24"/>
          <w:szCs w:val="24"/>
          <w:lang w:val="sr-Latn-CS"/>
        </w:rPr>
        <w:t>Tabela 6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B34A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Dozvoljeni dnevni ulov i režim ribolova rekreativnih ribolovaca na ri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barskom području „Radan“ </w:t>
      </w:r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85"/>
        <w:gridCol w:w="4445"/>
      </w:tblGrid>
      <w:tr w:rsidR="002E547B" w:rsidRPr="00B34A1B" w:rsidTr="002E547B">
        <w:trPr>
          <w:trHeight w:val="255"/>
          <w:jc w:val="center"/>
        </w:trPr>
        <w:tc>
          <w:tcPr>
            <w:tcW w:w="4985" w:type="dxa"/>
            <w:vAlign w:val="center"/>
          </w:tcPr>
          <w:p w:rsidR="002E547B" w:rsidRPr="00B34A1B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4A1B">
              <w:rPr>
                <w:rFonts w:ascii="Times New Roman" w:eastAsia="Times New Roman" w:hAnsi="Times New Roman" w:cs="Times New Roman"/>
                <w:b/>
                <w:lang w:val="sr-Cyrl-CS"/>
              </w:rPr>
              <w:t>RIBOLOVNE VRSTE</w:t>
            </w:r>
          </w:p>
        </w:tc>
        <w:tc>
          <w:tcPr>
            <w:tcW w:w="4445" w:type="dxa"/>
            <w:vAlign w:val="center"/>
          </w:tcPr>
          <w:p w:rsidR="002E547B" w:rsidRPr="00B34A1B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B34A1B">
              <w:rPr>
                <w:rFonts w:ascii="Times New Roman" w:eastAsia="Times New Roman" w:hAnsi="Times New Roman" w:cs="Times New Roman"/>
                <w:b/>
                <w:lang w:val="sr-Cyrl-CS"/>
              </w:rPr>
              <w:t>DNEVNI ULOV</w:t>
            </w:r>
            <w:r w:rsidRPr="00B34A1B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I REŽIM RIBOLOVA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4985" w:type="dxa"/>
            <w:vAlign w:val="center"/>
          </w:tcPr>
          <w:p w:rsidR="002E547B" w:rsidRPr="005B7659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sr-Latn-RS"/>
              </w:rPr>
              <w:t>SVE ALOHTONE VRSTE RIBA</w:t>
            </w:r>
          </w:p>
        </w:tc>
        <w:tc>
          <w:tcPr>
            <w:tcW w:w="4445" w:type="dxa"/>
            <w:vAlign w:val="center"/>
          </w:tcPr>
          <w:p w:rsidR="002E547B" w:rsidRPr="00B34A1B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N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>eograničeno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9430" w:type="dxa"/>
            <w:gridSpan w:val="2"/>
            <w:vAlign w:val="center"/>
          </w:tcPr>
          <w:p w:rsidR="002E547B" w:rsidRPr="00B34A1B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A1B">
              <w:rPr>
                <w:rFonts w:ascii="Times New Roman" w:eastAsia="Times New Roman" w:hAnsi="Times New Roman" w:cs="Times New Roman"/>
                <w:b/>
                <w:lang w:val="sr-Cyrl-CS"/>
              </w:rPr>
              <w:t>AUTOHTO</w:t>
            </w:r>
            <w:r w:rsidRPr="00B34A1B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VRSTE </w:t>
            </w:r>
            <w:r w:rsidRPr="00B34A1B">
              <w:rPr>
                <w:rFonts w:ascii="Times New Roman" w:eastAsia="Times New Roman" w:hAnsi="Times New Roman" w:cs="Times New Roman"/>
                <w:b/>
                <w:lang w:val="sr-Cyrl-CS"/>
              </w:rPr>
              <w:t>RIBE</w:t>
            </w:r>
            <w:r w:rsidRPr="00B34A1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4985" w:type="dxa"/>
            <w:tcBorders>
              <w:right w:val="single" w:sz="4" w:space="0" w:color="auto"/>
            </w:tcBorders>
          </w:tcPr>
          <w:p w:rsidR="002E547B" w:rsidRPr="00A841AA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š</w:t>
            </w:r>
            <w:r w:rsidRPr="00A841AA">
              <w:rPr>
                <w:rFonts w:ascii="Times New Roman" w:eastAsia="Times New Roman" w:hAnsi="Times New Roman" w:cs="Times New Roman"/>
                <w:lang w:val="sr-Latn-RS"/>
              </w:rPr>
              <w:t xml:space="preserve">tuka </w:t>
            </w:r>
          </w:p>
        </w:tc>
        <w:tc>
          <w:tcPr>
            <w:tcW w:w="4445" w:type="dxa"/>
            <w:tcBorders>
              <w:left w:val="single" w:sz="4" w:space="0" w:color="auto"/>
            </w:tcBorders>
          </w:tcPr>
          <w:p w:rsidR="002E547B" w:rsidRPr="00A841AA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Režim: „ulovi pa pusti“ na Brestovačkom jezeru“ od 2019. do 2022. godine. 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4985" w:type="dxa"/>
            <w:tcBorders>
              <w:right w:val="single" w:sz="4" w:space="0" w:color="auto"/>
            </w:tcBorders>
          </w:tcPr>
          <w:p w:rsidR="002E547B" w:rsidRPr="00B34A1B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šaran, s</w:t>
            </w:r>
            <w:r w:rsidRPr="00B34A1B">
              <w:rPr>
                <w:rFonts w:ascii="Times New Roman" w:eastAsia="Times New Roman" w:hAnsi="Times New Roman" w:cs="Times New Roman"/>
                <w:lang w:val="sr-Latn-RS"/>
              </w:rPr>
              <w:t>om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, smuđ </w:t>
            </w:r>
            <w:r w:rsidRPr="00B34A1B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4445" w:type="dxa"/>
            <w:tcBorders>
              <w:left w:val="single" w:sz="4" w:space="0" w:color="auto"/>
            </w:tcBorders>
          </w:tcPr>
          <w:p w:rsidR="002E547B" w:rsidRPr="00B34A1B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B34A1B">
              <w:rPr>
                <w:rFonts w:ascii="Times New Roman" w:eastAsia="Times New Roman" w:hAnsi="Times New Roman" w:cs="Times New Roman"/>
                <w:lang w:val="sr-Latn-RS"/>
              </w:rPr>
              <w:t>Maksimalno 3 komada u dozvoljenoj lovnoj veličini zbirno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4985" w:type="dxa"/>
            <w:tcBorders>
              <w:bottom w:val="single" w:sz="6" w:space="0" w:color="auto"/>
            </w:tcBorders>
          </w:tcPr>
          <w:p w:rsidR="002E547B" w:rsidRPr="00EB2510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d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>everika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, s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 xml:space="preserve">kobalj,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p</w:t>
            </w:r>
            <w:r w:rsidRPr="00B34A1B">
              <w:rPr>
                <w:rFonts w:ascii="Times New Roman" w:eastAsia="Times New Roman" w:hAnsi="Times New Roman" w:cs="Times New Roman"/>
                <w:lang w:val="sr-Latn-RS"/>
              </w:rPr>
              <w:t xml:space="preserve">otočna 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 xml:space="preserve">mrena,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k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len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4445" w:type="dxa"/>
            <w:tcBorders>
              <w:bottom w:val="single" w:sz="6" w:space="0" w:color="auto"/>
            </w:tcBorders>
          </w:tcPr>
          <w:p w:rsidR="002E547B" w:rsidRPr="00B34A1B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34A1B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 xml:space="preserve">aksimalno 10 komada u dozvoljenoj lovnoj veličini zbirno 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4985" w:type="dxa"/>
            <w:tcBorders>
              <w:bottom w:val="single" w:sz="6" w:space="0" w:color="auto"/>
            </w:tcBorders>
          </w:tcPr>
          <w:p w:rsidR="002E547B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klen, potočna mrena, krkuša, pliska- </w:t>
            </w:r>
          </w:p>
          <w:p w:rsidR="002E547B" w:rsidRPr="00B34A1B" w:rsidRDefault="002E547B" w:rsidP="002E5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na rekama: Prolomska, Kosanica, Dobrodolska i drugim manjim rekama i potocima</w:t>
            </w:r>
          </w:p>
        </w:tc>
        <w:tc>
          <w:tcPr>
            <w:tcW w:w="4445" w:type="dxa"/>
            <w:tcBorders>
              <w:bottom w:val="single" w:sz="6" w:space="0" w:color="auto"/>
            </w:tcBorders>
            <w:vAlign w:val="center"/>
          </w:tcPr>
          <w:p w:rsidR="002E547B" w:rsidRPr="00B34A1B" w:rsidRDefault="002E547B" w:rsidP="002E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Režim „ulovi pa pusti“</w:t>
            </w:r>
          </w:p>
        </w:tc>
      </w:tr>
      <w:tr w:rsidR="002E547B" w:rsidRPr="00B34A1B" w:rsidTr="002E547B">
        <w:trPr>
          <w:trHeight w:val="255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</w:tcPr>
          <w:p w:rsidR="002E547B" w:rsidRPr="00B34A1B" w:rsidRDefault="002E547B" w:rsidP="002E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>Kada jedan ulovljen</w:t>
            </w:r>
            <w:r w:rsidRPr="00B34A1B">
              <w:rPr>
                <w:rFonts w:ascii="Times New Roman" w:eastAsia="Times New Roman" w:hAnsi="Times New Roman" w:cs="Times New Roman"/>
                <w:lang w:val="sr-Latn-RS"/>
              </w:rPr>
              <w:t>i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 xml:space="preserve"> primerak prelazi masu od 5 kg, za sve autohton</w:t>
            </w:r>
            <w:r w:rsidRPr="00B34A1B">
              <w:rPr>
                <w:rFonts w:ascii="Times New Roman" w:eastAsia="Times New Roman" w:hAnsi="Times New Roman" w:cs="Times New Roman"/>
              </w:rPr>
              <w:t>e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t xml:space="preserve"> vrste riba, ne važi ograničenje </w:t>
            </w:r>
            <w:r w:rsidRPr="00B34A1B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dnevnog ulova u komadima, već se u takvim slučajevima smatra da je ispunjen maksimalan dnevni ulov u masi.</w:t>
            </w:r>
          </w:p>
        </w:tc>
      </w:tr>
    </w:tbl>
    <w:p w:rsidR="00930723" w:rsidRDefault="00930723" w:rsidP="00FE373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730" w:rsidRDefault="00B01730" w:rsidP="00FE373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730" w:rsidRDefault="00B01730" w:rsidP="00FE373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20F" w:rsidRPr="00731FD2" w:rsidRDefault="00D4720F" w:rsidP="005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3C5F" w:rsidRPr="00383C5F" w:rsidRDefault="00383C5F" w:rsidP="00383C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383C5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3. DINAMIKA PORIBLJAVANJA RIBARSKOG PODRUČJA PO VRSTAMA I KOLIČINI RIBA, VREMENU I MESTU PORIBLJAVANJA, KAO I POTREBNA NOVČANA SREDSTVA</w:t>
      </w:r>
    </w:p>
    <w:p w:rsidR="00383C5F" w:rsidRPr="00383C5F" w:rsidRDefault="00383C5F" w:rsidP="00791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83C5F" w:rsidRPr="00383C5F" w:rsidRDefault="002E547B" w:rsidP="00383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Istraživanja stanja ribljeg fonda za sada ne nameće potrebu za poribljavanjam, pa se ova mera ne planira tokom 2019. godine.</w:t>
      </w:r>
    </w:p>
    <w:p w:rsidR="00D4628B" w:rsidRDefault="00D4628B" w:rsidP="0020396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730" w:rsidRDefault="00B01730" w:rsidP="0020396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730" w:rsidRDefault="00B01730" w:rsidP="0020396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730" w:rsidRPr="00383C5F" w:rsidRDefault="00B01730" w:rsidP="0020396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C5F" w:rsidRPr="00383C5F" w:rsidRDefault="00383C5F" w:rsidP="00383C5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MERE I NAČIN ZAŠTITE I ODRŽIVOG KORIŠĆENJA RIBLJEG FONDA </w:t>
      </w:r>
    </w:p>
    <w:p w:rsidR="0095780D" w:rsidRDefault="00247C2E" w:rsidP="0024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547B" w:rsidRPr="000A4517" w:rsidRDefault="002E547B" w:rsidP="002E547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Mere za zaštitu i održivo korišćenje ribljeg fonda </w:t>
      </w:r>
      <w:r>
        <w:rPr>
          <w:rFonts w:ascii="Times New Roman" w:eastAsia="Calibri" w:hAnsi="Times New Roman" w:cs="Times New Roman"/>
          <w:sz w:val="24"/>
          <w:szCs w:val="24"/>
        </w:rPr>
        <w:t>obezbediće</w:t>
      </w:r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 uslove kako za zaštitu tako i za održivost ribljeg fonda kroz adekvatan rad ribočuvarske službe, zabrane i propisani re</w:t>
      </w:r>
      <w:r>
        <w:rPr>
          <w:rFonts w:ascii="Times New Roman" w:eastAsia="Calibri" w:hAnsi="Times New Roman" w:cs="Times New Roman"/>
          <w:sz w:val="24"/>
          <w:szCs w:val="24"/>
        </w:rPr>
        <w:t>žim ribolova ali i kroz povećanje i unapređenje stanja</w:t>
      </w:r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 ribljeg fonda.  </w:t>
      </w:r>
    </w:p>
    <w:p w:rsidR="002E547B" w:rsidRPr="000A4517" w:rsidRDefault="002E547B" w:rsidP="002E547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517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aštita i korišćenje ihtiofaune u</w:t>
      </w:r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 ribolovnim vodama koje se nalaze u okviru granica ribarskog </w:t>
      </w:r>
      <w:proofErr w:type="gramStart"/>
      <w:r w:rsidRPr="000A4517">
        <w:rPr>
          <w:rFonts w:ascii="Times New Roman" w:eastAsia="Calibri" w:hAnsi="Times New Roman" w:cs="Times New Roman"/>
          <w:sz w:val="24"/>
          <w:szCs w:val="24"/>
        </w:rPr>
        <w:t>područja  „</w:t>
      </w:r>
      <w:proofErr w:type="gramEnd"/>
      <w:r w:rsidRPr="000A4517">
        <w:rPr>
          <w:rFonts w:ascii="Times New Roman" w:eastAsia="Calibri" w:hAnsi="Times New Roman" w:cs="Times New Roman"/>
          <w:sz w:val="24"/>
          <w:szCs w:val="24"/>
        </w:rPr>
        <w:t xml:space="preserve">Radan“, sprovodiće se preko sledećih mera:  </w:t>
      </w:r>
    </w:p>
    <w:p w:rsidR="002E547B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iCs/>
          <w:sz w:val="24"/>
          <w:szCs w:val="24"/>
        </w:rPr>
        <w:t xml:space="preserve">Sprovođenje odredbi propisanih Zakonom o zaštiti i održivom korišćenju ribljeg fonda </w:t>
      </w:r>
    </w:p>
    <w:p w:rsidR="002E547B" w:rsidRPr="000A4517" w:rsidRDefault="002E547B" w:rsidP="002E547B">
      <w:pPr>
        <w:tabs>
          <w:tab w:val="left" w:pos="108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A4517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r w:rsidRPr="000A4517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gramEnd"/>
      <w:r w:rsidRPr="000A4517"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 w:rsidR="009840CB">
        <w:rPr>
          <w:rFonts w:ascii="Times New Roman" w:eastAsia="Times New Roman" w:hAnsi="Times New Roman" w:cs="Times New Roman"/>
          <w:i/>
          <w:sz w:val="24"/>
          <w:szCs w:val="24"/>
        </w:rPr>
        <w:t>.gl.</w:t>
      </w:r>
      <w:r w:rsidRPr="000A4517">
        <w:rPr>
          <w:rFonts w:ascii="Times New Roman" w:eastAsia="Times New Roman" w:hAnsi="Times New Roman" w:cs="Times New Roman"/>
          <w:i/>
          <w:sz w:val="24"/>
          <w:szCs w:val="24"/>
        </w:rPr>
        <w:t xml:space="preserve"> RS”,</w:t>
      </w:r>
      <w:r w:rsidR="009840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br.</w:t>
      </w:r>
      <w:r w:rsidRPr="000A45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128/14</w:t>
      </w:r>
      <w:r w:rsidR="009840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95/18- dr.zakon</w:t>
      </w:r>
      <w:r w:rsidRPr="000A4517">
        <w:rPr>
          <w:rFonts w:ascii="Times New Roman" w:eastAsia="Times New Roman" w:hAnsi="Times New Roman" w:cs="Times New Roman"/>
          <w:iCs/>
          <w:sz w:val="24"/>
          <w:szCs w:val="24"/>
        </w:rPr>
        <w:t>) i važećih podzakonskih akata.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Podsticanje neograničenog ribolova (podrazumeva se upotreba zakonski dozvoljenih alata i tehnika)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svih </w:t>
      </w:r>
      <w:r w:rsidRPr="000A4517">
        <w:rPr>
          <w:rFonts w:ascii="Times New Roman" w:eastAsia="Times New Roman" w:hAnsi="Times New Roman" w:cs="Times New Roman"/>
          <w:sz w:val="24"/>
          <w:szCs w:val="24"/>
        </w:rPr>
        <w:t>alohtonih vrsta riba.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Uredno i zakonski propisano obeležavanje odgovarajućim tablama svih voda </w:t>
      </w: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ribarskom području sa podacima o režimu</w:t>
      </w: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ribolova i njihovo redovno održavanje.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poštovanja </w:t>
      </w: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zabrane ribolova vrsta koje su trajno </w:t>
      </w: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privremeno (u vreme mresta) zabranjene za ribolov.</w:t>
      </w:r>
    </w:p>
    <w:p w:rsidR="002E547B" w:rsidRPr="00266736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266736">
        <w:rPr>
          <w:rFonts w:ascii="Times New Roman" w:eastAsia="Times New Roman" w:hAnsi="Times New Roman" w:cs="Times New Roman"/>
          <w:sz w:val="24"/>
          <w:szCs w:val="24"/>
        </w:rPr>
        <w:t>U vreme mresta riba, poja</w:t>
      </w:r>
      <w:r w:rsidRPr="0026673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čati čuvanje plitkog zatravljenog dela Brestovačkog jezera </w:t>
      </w:r>
      <w:proofErr w:type="gramStart"/>
      <w:r w:rsidRPr="00266736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proofErr w:type="gramEnd"/>
      <w:r w:rsidRPr="0026673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ušća Puste reke pa nizvodno oko 500 m. 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>Praćenje aktivnosti matičnih primeraka riba tokom perioda reprodukcije.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Kontrola da li se rekreativni ribolov odvija u skladu </w:t>
      </w: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propisanim režimom. 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>Kontrola pojave uticaja zagađivača i adekvatno i pravovremeno reagovanje u slučaju akcidenata.</w:t>
      </w:r>
    </w:p>
    <w:p w:rsidR="002E547B" w:rsidRPr="00A841AA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Intenziviranje aktivnosti </w:t>
      </w:r>
      <w:proofErr w:type="gramStart"/>
      <w:r w:rsidRPr="000A451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 suzbijanju svih vidova krivolova, a posebno u vezi sa korišćenjem zabranjenih mrežarskih i drugih alata (elektroribolov, ribolov pomoću plina i dr.).</w:t>
      </w:r>
    </w:p>
    <w:p w:rsidR="002E547B" w:rsidRPr="00A841AA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A4517">
        <w:rPr>
          <w:rFonts w:ascii="Times New Roman" w:eastAsia="Times New Roman" w:hAnsi="Times New Roman" w:cs="Times New Roman"/>
          <w:sz w:val="24"/>
          <w:szCs w:val="24"/>
        </w:rPr>
        <w:t xml:space="preserve">Upozoravanje svih ribolovaca da ne ostavljaju otpad za sobom posle završenog ribolova. </w:t>
      </w:r>
    </w:p>
    <w:p w:rsidR="002E547B" w:rsidRPr="00A841AA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Tokom 2020</w:t>
      </w:r>
      <w:r w:rsidR="00F211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F2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1126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 w:rsidR="00F211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akumulaciji “Brestovačko jezero” sprovesti sanacioni izlov tolstolobika, mrežastim alatima. </w:t>
      </w:r>
    </w:p>
    <w:p w:rsidR="002E547B" w:rsidRPr="000A4517" w:rsidRDefault="002E547B" w:rsidP="002E547B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 cilju povećanja populacije štuke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“Brestovačkom jezeru” u periodu od 2019.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kraja 2022.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g.  uvodi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režim robolova “uhvati pa pusti”. </w:t>
      </w:r>
    </w:p>
    <w:p w:rsidR="002E547B" w:rsidRDefault="002E547B" w:rsidP="000F74E7">
      <w:pPr>
        <w:keepNext/>
        <w:suppressAutoHyphens/>
        <w:spacing w:after="0" w:line="240" w:lineRule="auto"/>
        <w:ind w:right="115"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4E7" w:rsidRPr="00C9090C" w:rsidRDefault="000F74E7" w:rsidP="000F74E7">
      <w:pPr>
        <w:keepNext/>
        <w:suppressAutoHyphens/>
        <w:spacing w:after="0" w:line="240" w:lineRule="auto"/>
        <w:ind w:right="115" w:firstLine="720"/>
        <w:jc w:val="both"/>
        <w:outlineLvl w:val="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9090C">
        <w:rPr>
          <w:rFonts w:ascii="Times New Roman" w:eastAsia="Times New Roman" w:hAnsi="Times New Roman" w:cs="Times New Roman"/>
          <w:bCs/>
          <w:sz w:val="24"/>
          <w:szCs w:val="24"/>
        </w:rPr>
        <w:t xml:space="preserve">Vreme ribolova </w:t>
      </w:r>
      <w:proofErr w:type="gramStart"/>
      <w:r w:rsidRPr="00C9090C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gramEnd"/>
      <w:r w:rsidRPr="00C9090C">
        <w:rPr>
          <w:rFonts w:ascii="Times New Roman" w:eastAsia="Times New Roman" w:hAnsi="Times New Roman" w:cs="Times New Roman"/>
          <w:bCs/>
          <w:sz w:val="24"/>
          <w:szCs w:val="24"/>
        </w:rPr>
        <w:t xml:space="preserve"> ovom ribarskom području je usklađeno sa sadržajem </w:t>
      </w:r>
      <w:r w:rsidRPr="000215B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Naredbe o merama za očuvanje i zaštitu ribljeg fonda</w:t>
      </w:r>
      <w:r w:rsidRPr="00C909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“</w:t>
      </w:r>
      <w:r w:rsidRPr="00C909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Sl</w:t>
      </w:r>
      <w:r w:rsidR="009840C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.g</w:t>
      </w:r>
      <w:r w:rsidRPr="00C909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l</w:t>
      </w:r>
      <w:r w:rsidR="009840C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.</w:t>
      </w:r>
      <w:r w:rsidRPr="00C909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RS”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sr-Latn-RS"/>
        </w:rPr>
        <w:t>,</w:t>
      </w:r>
      <w:r w:rsidRPr="00C909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br. 156/15</w:t>
      </w:r>
      <w:r w:rsidR="009840C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i 94/18</w:t>
      </w:r>
      <w:r w:rsidRPr="00C909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)</w:t>
      </w:r>
      <w:r w:rsidRPr="00C9090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. </w:t>
      </w:r>
    </w:p>
    <w:p w:rsidR="000F74E7" w:rsidRPr="00C9090C" w:rsidRDefault="000F74E7" w:rsidP="000F74E7">
      <w:pPr>
        <w:keepNext/>
        <w:suppressAutoHyphens/>
        <w:spacing w:after="0" w:line="240" w:lineRule="auto"/>
        <w:ind w:right="115" w:firstLine="360"/>
        <w:jc w:val="both"/>
        <w:outlineLvl w:val="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0F74E7" w:rsidRPr="00880753" w:rsidRDefault="000F74E7" w:rsidP="000F74E7">
      <w:pPr>
        <w:keepNext/>
        <w:suppressAutoHyphens/>
        <w:spacing w:after="0" w:line="240" w:lineRule="auto"/>
        <w:ind w:right="115" w:firstLine="720"/>
        <w:jc w:val="both"/>
        <w:outlineLvl w:val="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0753">
        <w:rPr>
          <w:rFonts w:ascii="Times New Roman" w:eastAsia="Times New Roman" w:hAnsi="Times New Roman" w:cs="Times New Roman"/>
          <w:bCs/>
          <w:iCs/>
          <w:sz w:val="24"/>
          <w:szCs w:val="24"/>
        </w:rPr>
        <w:t>Vreme ribolova za riblje vrste u ribolovnim vodama ribarskog područja prikazano je u tabeli</w:t>
      </w:r>
      <w:r w:rsidR="009840CB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7</w:t>
      </w:r>
      <w:r w:rsidRPr="00880753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0F74E7" w:rsidRDefault="000F74E7" w:rsidP="000F74E7">
      <w:pPr>
        <w:keepNext/>
        <w:suppressAutoHyphens/>
        <w:spacing w:after="0" w:line="240" w:lineRule="auto"/>
        <w:ind w:right="115" w:firstLine="360"/>
        <w:jc w:val="both"/>
        <w:outlineLvl w:val="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sr-Latn-RS"/>
        </w:rPr>
      </w:pPr>
    </w:p>
    <w:p w:rsidR="000F74E7" w:rsidRPr="00776128" w:rsidRDefault="009840CB" w:rsidP="000F74E7">
      <w:pPr>
        <w:keepNext/>
        <w:suppressAutoHyphens/>
        <w:spacing w:after="0" w:line="240" w:lineRule="auto"/>
        <w:ind w:right="115" w:firstLine="360"/>
        <w:jc w:val="both"/>
        <w:outlineLvl w:val="5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Tabela 7</w:t>
      </w:r>
      <w:r w:rsidR="000F74E7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. Vreme ribolova za riblje vrste na ribarskom području „Radan“</w:t>
      </w:r>
    </w:p>
    <w:tbl>
      <w:tblPr>
        <w:tblStyle w:val="ColorfulList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1852"/>
        <w:gridCol w:w="3656"/>
      </w:tblGrid>
      <w:tr w:rsidR="000F74E7" w:rsidRPr="00880753" w:rsidTr="002E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Riblja vrsta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4E7" w:rsidRPr="00862843" w:rsidRDefault="000F74E7" w:rsidP="002E5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</w:rPr>
              <w:t>Period ribolova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Ribolovna voda</w:t>
            </w:r>
          </w:p>
        </w:tc>
      </w:tr>
      <w:tr w:rsidR="000F74E7" w:rsidRPr="00880753" w:rsidTr="002E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  <w:r w:rsidRPr="00530801">
              <w:rPr>
                <w:rFonts w:ascii="Times New Roman" w:hAnsi="Times New Roman" w:cs="Times New Roman"/>
              </w:rPr>
              <w:t>muđ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 xml:space="preserve"> Sander lucioperca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753">
              <w:rPr>
                <w:rFonts w:ascii="Times New Roman" w:hAnsi="Times New Roman" w:cs="Times New Roman"/>
              </w:rPr>
              <w:t>01.05. - 28.02.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 ribolovne vode koje nastanjuju</w:t>
            </w:r>
          </w:p>
        </w:tc>
      </w:tr>
      <w:tr w:rsidR="000F74E7" w:rsidRPr="00880753" w:rsidTr="002E5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  <w:r w:rsidRPr="00530801">
              <w:rPr>
                <w:rFonts w:ascii="Times New Roman" w:hAnsi="Times New Roman" w:cs="Times New Roman"/>
              </w:rPr>
              <w:t>om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 xml:space="preserve"> Silurus glanis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753">
              <w:rPr>
                <w:rFonts w:ascii="Times New Roman" w:hAnsi="Times New Roman" w:cs="Times New Roman"/>
              </w:rPr>
              <w:t>16.06.</w:t>
            </w:r>
            <w:r>
              <w:rPr>
                <w:rFonts w:ascii="Times New Roman" w:hAnsi="Times New Roman" w:cs="Times New Roman"/>
                <w:lang w:val="sr-Latn-RS"/>
              </w:rPr>
              <w:t xml:space="preserve"> -</w:t>
            </w:r>
            <w:r w:rsidRPr="00880753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š</w:t>
            </w:r>
            <w:r w:rsidRPr="00530801">
              <w:rPr>
                <w:rFonts w:ascii="Times New Roman" w:hAnsi="Times New Roman" w:cs="Times New Roman"/>
              </w:rPr>
              <w:t>aran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>Cyprinus carpio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753">
              <w:rPr>
                <w:rFonts w:ascii="Times New Roman" w:hAnsi="Times New Roman" w:cs="Times New Roman"/>
              </w:rPr>
              <w:t>01.06.</w:t>
            </w:r>
            <w:r>
              <w:rPr>
                <w:rFonts w:ascii="Times New Roman" w:hAnsi="Times New Roman" w:cs="Times New Roman"/>
                <w:lang w:val="sr-Latn-RS"/>
              </w:rPr>
              <w:t xml:space="preserve"> -</w:t>
            </w:r>
            <w:r w:rsidRPr="00880753"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k</w:t>
            </w:r>
            <w:r w:rsidRPr="00530801">
              <w:rPr>
                <w:rFonts w:ascii="Times New Roman" w:hAnsi="Times New Roman" w:cs="Times New Roman"/>
              </w:rPr>
              <w:t>len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lang w:val="sr-Latn-RS"/>
              </w:rPr>
              <w:t xml:space="preserve">Sqalius 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>cephalus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-</w:t>
            </w:r>
            <w:r w:rsidRPr="00880753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b</w:t>
            </w:r>
            <w:r w:rsidRPr="00530801">
              <w:rPr>
                <w:rFonts w:ascii="Times New Roman" w:hAnsi="Times New Roman" w:cs="Times New Roman"/>
              </w:rPr>
              <w:t>odork</w:t>
            </w:r>
            <w:r>
              <w:rPr>
                <w:rFonts w:ascii="Times New Roman" w:hAnsi="Times New Roman" w:cs="Times New Roman"/>
              </w:rPr>
              <w:t>a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 xml:space="preserve"> Rutilus rutilus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5D0A93" w:rsidRDefault="000F74E7" w:rsidP="000F74E7">
            <w:pPr>
              <w:pStyle w:val="ListParagraph"/>
              <w:numPr>
                <w:ilvl w:val="1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0A93">
              <w:rPr>
                <w:rFonts w:ascii="Times New Roman" w:hAnsi="Times New Roman" w:cs="Times New Roman"/>
              </w:rPr>
              <w:t>-31.12.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d</w:t>
            </w:r>
            <w:r w:rsidRPr="00530801">
              <w:rPr>
                <w:rFonts w:ascii="Times New Roman" w:hAnsi="Times New Roman" w:cs="Times New Roman"/>
              </w:rPr>
              <w:t>everika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 xml:space="preserve"> Abramis brama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753">
              <w:rPr>
                <w:rFonts w:ascii="Times New Roman" w:hAnsi="Times New Roman" w:cs="Times New Roman"/>
              </w:rPr>
              <w:t>01.06.</w:t>
            </w:r>
            <w:r>
              <w:rPr>
                <w:rFonts w:ascii="Times New Roman" w:hAnsi="Times New Roman" w:cs="Times New Roman"/>
                <w:lang w:val="sr-Latn-RS"/>
              </w:rPr>
              <w:t xml:space="preserve"> -</w:t>
            </w:r>
            <w:r w:rsidRPr="00880753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  <w:r w:rsidRPr="00530801">
              <w:rPr>
                <w:rFonts w:ascii="Times New Roman" w:hAnsi="Times New Roman" w:cs="Times New Roman"/>
              </w:rPr>
              <w:t>kobalj</w:t>
            </w:r>
            <w:r w:rsidRPr="00880753">
              <w:rPr>
                <w:rFonts w:ascii="Times New Roman" w:hAnsi="Times New Roman" w:cs="Times New Roman"/>
                <w:b w:val="0"/>
                <w:i/>
              </w:rPr>
              <w:t xml:space="preserve"> Chondrostoma nasus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D40665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01.06. -14.04.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 ribolovne vode koje nastanjuju</w:t>
            </w:r>
          </w:p>
        </w:tc>
      </w:tr>
      <w:tr w:rsidR="000F74E7" w:rsidRPr="00880753" w:rsidTr="002E547B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015A47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</w:t>
            </w:r>
            <w:r w:rsidRPr="00530801">
              <w:rPr>
                <w:rFonts w:ascii="Times New Roman" w:hAnsi="Times New Roman" w:cs="Times New Roman"/>
              </w:rPr>
              <w:t xml:space="preserve">otočna mrena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Barbus </w:t>
            </w:r>
            <w:r>
              <w:rPr>
                <w:rFonts w:ascii="Times New Roman" w:hAnsi="Times New Roman" w:cs="Times New Roman"/>
                <w:b w:val="0"/>
                <w:i/>
                <w:lang w:val="sr-Latn-RS"/>
              </w:rPr>
              <w:t>balcanicus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0F74E7">
            <w:pPr>
              <w:numPr>
                <w:ilvl w:val="1"/>
                <w:numId w:val="14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 w:rsidRPr="00880753">
              <w:rPr>
                <w:rFonts w:ascii="Times New Roman" w:eastAsia="Times New Roman" w:hAnsi="Times New Roman" w:cs="Times New Roman"/>
                <w:lang w:val="sr-Latn-CS" w:eastAsia="sr-Latn-CS"/>
              </w:rPr>
              <w:t>- 31.12.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k</w:t>
            </w:r>
            <w:r w:rsidRPr="00530801">
              <w:rPr>
                <w:rFonts w:ascii="Times New Roman" w:hAnsi="Times New Roman" w:cs="Times New Roman"/>
              </w:rPr>
              <w:t>rkuša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Gobio gobio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5D0A93" w:rsidRDefault="000F74E7" w:rsidP="000F74E7">
            <w:pPr>
              <w:pStyle w:val="ListParagraph"/>
              <w:numPr>
                <w:ilvl w:val="1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5D0A93">
              <w:rPr>
                <w:rFonts w:ascii="Times New Roman" w:eastAsia="Times New Roman" w:hAnsi="Times New Roman" w:cs="Times New Roman"/>
                <w:lang w:val="sr-Latn-CS" w:eastAsia="sr-Latn-CS"/>
              </w:rPr>
              <w:t>- 31.12.</w:t>
            </w: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u</w:t>
            </w:r>
            <w:r w:rsidRPr="00530801">
              <w:rPr>
                <w:rFonts w:ascii="Times New Roman" w:hAnsi="Times New Roman" w:cs="Times New Roman"/>
              </w:rPr>
              <w:t>klija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880753">
              <w:rPr>
                <w:rFonts w:ascii="Times New Roman" w:hAnsi="Times New Roman" w:cs="Times New Roman"/>
                <w:b w:val="0"/>
                <w:i/>
                <w:iCs/>
              </w:rPr>
              <w:t>Alburnus alburnus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753">
              <w:rPr>
                <w:rFonts w:ascii="Times New Roman" w:hAnsi="Times New Roman" w:cs="Times New Roman"/>
              </w:rPr>
              <w:t>01.01.-31.12.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 ribolovne vode koje nastanjuju</w:t>
            </w:r>
          </w:p>
        </w:tc>
      </w:tr>
      <w:tr w:rsidR="000F74E7" w:rsidRPr="00880753" w:rsidTr="002E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lang w:val="sr-Latn-RS"/>
              </w:rPr>
              <w:t>dvoprugasta uklija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880753">
              <w:rPr>
                <w:rFonts w:ascii="Times New Roman" w:hAnsi="Times New Roman" w:cs="Times New Roman"/>
                <w:b w:val="0"/>
                <w:i/>
                <w:iCs/>
              </w:rPr>
              <w:t>Alburnoides bipunctatus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4E7" w:rsidRPr="00880753" w:rsidTr="002E5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auto"/>
            <w:vAlign w:val="center"/>
          </w:tcPr>
          <w:p w:rsidR="000F74E7" w:rsidRPr="00FD1700" w:rsidRDefault="000F74E7" w:rsidP="002E547B">
            <w:pPr>
              <w:jc w:val="center"/>
              <w:rPr>
                <w:rFonts w:ascii="Times New Roman" w:hAnsi="Times New Roman" w:cs="Times New Roman"/>
              </w:rPr>
            </w:pPr>
            <w:r w:rsidRPr="00FD1700">
              <w:rPr>
                <w:rFonts w:ascii="Times New Roman" w:hAnsi="Times New Roman" w:cs="Times New Roman"/>
              </w:rPr>
              <w:t xml:space="preserve">Sve alohtone vrste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753">
              <w:rPr>
                <w:rFonts w:ascii="Times New Roman" w:hAnsi="Times New Roman" w:cs="Times New Roman"/>
              </w:rPr>
              <w:t>01.01.-31.12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0F74E7" w:rsidRPr="00880753" w:rsidRDefault="000F74E7" w:rsidP="002E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 ribolovne vode koje nastanjuju</w:t>
            </w:r>
          </w:p>
        </w:tc>
      </w:tr>
    </w:tbl>
    <w:p w:rsidR="000F74E7" w:rsidRDefault="000F74E7" w:rsidP="000F74E7">
      <w:pP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0F74E7" w:rsidRDefault="000F74E7" w:rsidP="000F74E7">
      <w:pP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0F74E7" w:rsidRPr="00004ACE" w:rsidRDefault="000F74E7" w:rsidP="000F74E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YuTimes" w:eastAsia="Times New Roman" w:hAnsi="YuTimes" w:cs="Times New Roman"/>
          <w:i/>
          <w:iCs/>
          <w:sz w:val="24"/>
          <w:szCs w:val="24"/>
        </w:rPr>
      </w:pPr>
      <w:r w:rsidRPr="00004ACE">
        <w:rPr>
          <w:rFonts w:ascii="Times New Roman" w:eastAsia="Times New Roman" w:hAnsi="Times New Roman" w:cs="Times New Roman"/>
          <w:sz w:val="24"/>
          <w:szCs w:val="24"/>
        </w:rPr>
        <w:t>U cilju povećanja populacije štuke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4ACE">
        <w:rPr>
          <w:rFonts w:ascii="Times New Roman" w:eastAsia="Times New Roman" w:hAnsi="Times New Roman" w:cs="Times New Roman"/>
          <w:i/>
          <w:sz w:val="24"/>
          <w:szCs w:val="24"/>
        </w:rPr>
        <w:t>Esox lucius</w:t>
      </w:r>
      <w:proofErr w:type="gramStart"/>
      <w:r w:rsidRPr="00004ACE">
        <w:rPr>
          <w:rFonts w:ascii="Times New Roman" w:eastAsia="Times New Roman" w:hAnsi="Times New Roman" w:cs="Times New Roman"/>
          <w:sz w:val="24"/>
          <w:szCs w:val="24"/>
        </w:rPr>
        <w:t>,  na</w:t>
      </w:r>
      <w:proofErr w:type="gramEnd"/>
      <w:r w:rsidRPr="00004ACE">
        <w:rPr>
          <w:rFonts w:ascii="Times New Roman" w:eastAsia="Times New Roman" w:hAnsi="Times New Roman" w:cs="Times New Roman"/>
          <w:sz w:val="24"/>
          <w:szCs w:val="24"/>
        </w:rPr>
        <w:t xml:space="preserve"> “Brestovačkom jezeru” u periodu od 2019. </w:t>
      </w:r>
      <w:proofErr w:type="gramStart"/>
      <w:r w:rsidRPr="00004ACE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004ACE">
        <w:rPr>
          <w:rFonts w:ascii="Times New Roman" w:eastAsia="Times New Roman" w:hAnsi="Times New Roman" w:cs="Times New Roman"/>
          <w:sz w:val="24"/>
          <w:szCs w:val="24"/>
        </w:rPr>
        <w:t xml:space="preserve"> kraja 2022. </w:t>
      </w:r>
      <w:proofErr w:type="gramStart"/>
      <w:r w:rsidRPr="00004ACE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04AC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004ACE">
        <w:rPr>
          <w:rFonts w:ascii="Times New Roman" w:eastAsia="Times New Roman" w:hAnsi="Times New Roman" w:cs="Times New Roman"/>
          <w:sz w:val="24"/>
          <w:szCs w:val="24"/>
        </w:rPr>
        <w:t>uvodi</w:t>
      </w:r>
      <w:proofErr w:type="gramEnd"/>
      <w:r w:rsidRPr="00004ACE">
        <w:rPr>
          <w:rFonts w:ascii="Times New Roman" w:eastAsia="Times New Roman" w:hAnsi="Times New Roman" w:cs="Times New Roman"/>
          <w:sz w:val="24"/>
          <w:szCs w:val="24"/>
        </w:rPr>
        <w:t xml:space="preserve"> se režim robolova “uhvati pa pusti”. </w:t>
      </w:r>
    </w:p>
    <w:p w:rsidR="000F74E7" w:rsidRPr="00CD525B" w:rsidRDefault="000F74E7" w:rsidP="000F74E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52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Noćni ribolov dozvoljen je samo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Brestovačkom jezeru </w:t>
      </w:r>
      <w:r w:rsidRPr="00CD525B">
        <w:rPr>
          <w:rFonts w:ascii="Times New Roman" w:eastAsia="Times New Roman" w:hAnsi="Times New Roman" w:cs="Times New Roman"/>
          <w:sz w:val="24"/>
          <w:szCs w:val="24"/>
          <w:lang w:val="hr-HR"/>
        </w:rPr>
        <w:t>sa obale (bez upotrebe čamaca i drugih improvizovanih plovila) u periodu od 21</w:t>
      </w:r>
      <w:r w:rsidRPr="00CD525B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h</w:t>
      </w:r>
      <w:r w:rsidRPr="00CD52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03</w:t>
      </w:r>
      <w:r w:rsidRPr="00CD525B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h</w:t>
      </w:r>
      <w:r w:rsidRPr="00CD52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 letnjem računanju vremena i od 18</w:t>
      </w:r>
      <w:r w:rsidRPr="00CD525B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h</w:t>
      </w:r>
      <w:r w:rsidRPr="00CD52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05</w:t>
      </w:r>
      <w:r w:rsidRPr="00CD525B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h</w:t>
      </w:r>
      <w:r w:rsidRPr="00CD52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 zimskom računanju vremena. </w:t>
      </w:r>
    </w:p>
    <w:p w:rsidR="000F74E7" w:rsidRPr="00E50DFA" w:rsidRDefault="000F74E7" w:rsidP="000F74E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50DFA">
        <w:rPr>
          <w:rFonts w:ascii="Times New Roman" w:eastAsia="Times New Roman" w:hAnsi="Times New Roman" w:cs="Times New Roman"/>
          <w:sz w:val="24"/>
          <w:szCs w:val="24"/>
        </w:rPr>
        <w:t>Ribolov iz čamca na akumulacij</w:t>
      </w:r>
      <w:r w:rsidRPr="00E50DFA">
        <w:rPr>
          <w:rFonts w:ascii="Times New Roman" w:eastAsia="Times New Roman" w:hAnsi="Times New Roman" w:cs="Times New Roman"/>
          <w:sz w:val="24"/>
          <w:szCs w:val="24"/>
          <w:lang w:val="sr-Latn-RS"/>
        </w:rPr>
        <w:t>i „Brestovačko jezero</w:t>
      </w:r>
      <w:proofErr w:type="gramStart"/>
      <w:r w:rsidRPr="00E50DFA">
        <w:rPr>
          <w:rFonts w:ascii="Times New Roman" w:eastAsia="Times New Roman" w:hAnsi="Times New Roman" w:cs="Times New Roman"/>
          <w:sz w:val="24"/>
          <w:szCs w:val="24"/>
          <w:lang w:val="sr-Latn-RS"/>
        </w:rPr>
        <w:t>“ nije</w:t>
      </w:r>
      <w:proofErr w:type="gramEnd"/>
      <w:r w:rsidRPr="00E50D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dozvoljen.</w:t>
      </w:r>
    </w:p>
    <w:p w:rsidR="000F74E7" w:rsidRPr="00EA5E7C" w:rsidRDefault="000F74E7" w:rsidP="000F74E7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0F74E7" w:rsidRPr="00C9090C" w:rsidRDefault="000F74E7" w:rsidP="000F74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74E7" w:rsidRPr="00C9090C" w:rsidRDefault="000F74E7" w:rsidP="000F74E7">
      <w:pPr>
        <w:spacing w:after="0" w:line="240" w:lineRule="auto"/>
        <w:ind w:left="115" w:right="115"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0C">
        <w:rPr>
          <w:rFonts w:ascii="Times New Roman" w:eastAsia="Times New Roman" w:hAnsi="Times New Roman" w:cs="Times New Roman"/>
          <w:sz w:val="24"/>
          <w:szCs w:val="24"/>
        </w:rPr>
        <w:t xml:space="preserve">Tehnike ribolova, oprema, alati i vrste mamaca kojima se može loviti </w:t>
      </w:r>
      <w:proofErr w:type="gramStart"/>
      <w:r w:rsidRPr="00C909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9090C">
        <w:rPr>
          <w:rFonts w:ascii="Times New Roman" w:eastAsia="Times New Roman" w:hAnsi="Times New Roman" w:cs="Times New Roman"/>
          <w:sz w:val="24"/>
          <w:szCs w:val="24"/>
        </w:rPr>
        <w:t xml:space="preserve"> ribolovnim vodama ribarskog područja sprovodiće se u skladu sa </w:t>
      </w:r>
      <w:r w:rsidRPr="00805196">
        <w:rPr>
          <w:rFonts w:ascii="Times New Roman" w:eastAsia="Times New Roman" w:hAnsi="Times New Roman" w:cs="Times New Roman"/>
          <w:sz w:val="24"/>
          <w:szCs w:val="24"/>
        </w:rPr>
        <w:t>Pravilnikom o načinu, alatima i sredstvima kojima se obavlja privredni ribolov, kao i o načinu, alatima, opremi i sredstvima kojima se obavlja rekreativni ribolov</w:t>
      </w:r>
      <w:r w:rsidRPr="00C9090C">
        <w:rPr>
          <w:rFonts w:ascii="Times New Roman" w:eastAsia="Times New Roman" w:hAnsi="Times New Roman" w:cs="Times New Roman"/>
          <w:i/>
          <w:sz w:val="24"/>
          <w:szCs w:val="24"/>
        </w:rPr>
        <w:t xml:space="preserve"> ("Službeni glasnik RS", br. 9/17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34/18</w:t>
      </w:r>
      <w:r w:rsidRPr="00C9090C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F74E7" w:rsidRPr="00C9090C" w:rsidRDefault="000F74E7" w:rsidP="000F74E7">
      <w:pPr>
        <w:spacing w:after="0" w:line="240" w:lineRule="auto"/>
        <w:ind w:left="115" w:right="115"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Pr="00C9090C" w:rsidRDefault="000F74E7" w:rsidP="000F74E7">
      <w:pPr>
        <w:spacing w:after="0" w:line="240" w:lineRule="auto"/>
        <w:ind w:left="115" w:right="115"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90C">
        <w:rPr>
          <w:rFonts w:ascii="Times New Roman" w:eastAsia="Times New Roman" w:hAnsi="Times New Roman" w:cs="Times New Roman"/>
          <w:sz w:val="24"/>
          <w:szCs w:val="24"/>
        </w:rPr>
        <w:t xml:space="preserve">Posebno se propisuje i sledeće: </w:t>
      </w:r>
    </w:p>
    <w:p w:rsidR="000F74E7" w:rsidRPr="00C9090C" w:rsidRDefault="000F74E7" w:rsidP="000F74E7">
      <w:pPr>
        <w:spacing w:after="0" w:line="240" w:lineRule="auto"/>
        <w:ind w:left="115" w:right="115"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E7" w:rsidRPr="00E50DFA" w:rsidRDefault="000F74E7" w:rsidP="000F74E7">
      <w:pPr>
        <w:numPr>
          <w:ilvl w:val="0"/>
          <w:numId w:val="13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50DFA">
        <w:rPr>
          <w:rFonts w:ascii="Times New Roman" w:hAnsi="Times New Roman" w:cs="Times New Roman"/>
          <w:sz w:val="24"/>
          <w:szCs w:val="24"/>
          <w:lang w:eastAsia="sr-Latn-CS"/>
        </w:rPr>
        <w:t xml:space="preserve">Rekreativni ribolov iz čamca </w:t>
      </w:r>
      <w:r w:rsidRPr="00E50DFA">
        <w:rPr>
          <w:rFonts w:ascii="Times New Roman" w:hAnsi="Times New Roman" w:cs="Times New Roman"/>
          <w:sz w:val="24"/>
          <w:szCs w:val="24"/>
          <w:lang w:val="sr-Latn-RS" w:eastAsia="sr-Latn-CS"/>
        </w:rPr>
        <w:t>na akumulaciji „Brestovačko jezero</w:t>
      </w:r>
      <w:proofErr w:type="gramStart"/>
      <w:r w:rsidRPr="00E50DFA">
        <w:rPr>
          <w:rFonts w:ascii="Times New Roman" w:hAnsi="Times New Roman" w:cs="Times New Roman"/>
          <w:sz w:val="24"/>
          <w:szCs w:val="24"/>
          <w:lang w:val="sr-Latn-RS" w:eastAsia="sr-Latn-CS"/>
        </w:rPr>
        <w:t>“ nije</w:t>
      </w:r>
      <w:proofErr w:type="gramEnd"/>
      <w:r w:rsidRPr="00E50DFA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E50DFA">
        <w:rPr>
          <w:rFonts w:ascii="Times New Roman" w:hAnsi="Times New Roman" w:cs="Times New Roman"/>
          <w:sz w:val="24"/>
          <w:szCs w:val="24"/>
          <w:lang w:eastAsia="sr-Latn-CS"/>
        </w:rPr>
        <w:t>dozvolj</w:t>
      </w:r>
      <w:r w:rsidRPr="00E50DFA">
        <w:rPr>
          <w:rFonts w:ascii="Times New Roman" w:hAnsi="Times New Roman" w:cs="Times New Roman"/>
          <w:sz w:val="24"/>
          <w:szCs w:val="24"/>
          <w:lang w:val="sr-Latn-RS" w:eastAsia="sr-Latn-CS"/>
        </w:rPr>
        <w:t>en</w:t>
      </w:r>
      <w:r w:rsidRPr="00E50DF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. </w:t>
      </w:r>
    </w:p>
    <w:p w:rsidR="000F74E7" w:rsidRPr="00525CDC" w:rsidRDefault="000F74E7" w:rsidP="000F74E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Na  akumualciji „Brestovačko jezero“  r</w:t>
      </w:r>
      <w:r w:rsidRPr="00CB1F16">
        <w:rPr>
          <w:rFonts w:ascii="Times New Roman" w:eastAsia="Times New Roman" w:hAnsi="Times New Roman" w:cs="Times New Roman"/>
          <w:sz w:val="24"/>
          <w:szCs w:val="24"/>
        </w:rPr>
        <w:t>ekreativni ribolov sa obale ribolovne vode obavlja se zabacivan</w:t>
      </w:r>
      <w:r>
        <w:rPr>
          <w:rFonts w:ascii="Times New Roman" w:eastAsia="Times New Roman" w:hAnsi="Times New Roman" w:cs="Times New Roman"/>
          <w:sz w:val="24"/>
          <w:szCs w:val="24"/>
        </w:rPr>
        <w:t>jem mamaca štapovima za ribolov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CB1F16">
        <w:rPr>
          <w:rFonts w:ascii="Times New Roman" w:eastAsia="Times New Roman" w:hAnsi="Times New Roman" w:cs="Times New Roman"/>
          <w:sz w:val="24"/>
          <w:szCs w:val="24"/>
        </w:rPr>
        <w:t xml:space="preserve"> Dozvoljena je upotreba </w:t>
      </w:r>
      <w:r w:rsidRPr="00E24242">
        <w:rPr>
          <w:rFonts w:ascii="Times New Roman" w:eastAsia="Times New Roman" w:hAnsi="Times New Roman" w:cs="Times New Roman"/>
          <w:sz w:val="24"/>
          <w:szCs w:val="24"/>
          <w:lang w:val="sr-Latn-RS"/>
        </w:rPr>
        <w:t>najviše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B1F16">
        <w:rPr>
          <w:rFonts w:ascii="Times New Roman" w:eastAsia="Times New Roman" w:hAnsi="Times New Roman" w:cs="Times New Roman"/>
          <w:sz w:val="24"/>
          <w:szCs w:val="24"/>
        </w:rPr>
        <w:t xml:space="preserve">tri štapa </w:t>
      </w:r>
      <w:proofErr w:type="gramStart"/>
      <w:r w:rsidRPr="00CB1F1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B1F16">
        <w:rPr>
          <w:rFonts w:ascii="Times New Roman" w:eastAsia="Times New Roman" w:hAnsi="Times New Roman" w:cs="Times New Roman"/>
          <w:sz w:val="24"/>
          <w:szCs w:val="24"/>
        </w:rPr>
        <w:t xml:space="preserve"> po dv</w:t>
      </w:r>
      <w:r>
        <w:rPr>
          <w:rFonts w:ascii="Times New Roman" w:eastAsia="Times New Roman" w:hAnsi="Times New Roman" w:cs="Times New Roman"/>
          <w:sz w:val="24"/>
          <w:szCs w:val="24"/>
        </w:rPr>
        <w:t>e udice po prisutnom ribolovcu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CB1F16">
        <w:rPr>
          <w:rFonts w:ascii="Times New Roman" w:eastAsia="Times New Roman" w:hAnsi="Times New Roman" w:cs="Times New Roman"/>
          <w:sz w:val="24"/>
          <w:szCs w:val="24"/>
        </w:rPr>
        <w:t xml:space="preserve">Osoba koja vrši ribolov ne sme da se </w:t>
      </w:r>
      <w:r w:rsidRPr="00CB1F16">
        <w:rPr>
          <w:rFonts w:ascii="Times New Roman" w:eastAsia="Times New Roman" w:hAnsi="Times New Roman" w:cs="Times New Roman"/>
          <w:sz w:val="24"/>
          <w:szCs w:val="24"/>
        </w:rPr>
        <w:lastRenderedPageBreak/>
        <w:t>udaljava od zabačenih ribolovnih štapova na daljinu koja je veća od 30 metara, tačnije u slučaju potrebe udaljavanja, ribolovac je dužan da pre udaljavanja zabačene štapove sa mamcima izvadi iz vode.</w:t>
      </w:r>
    </w:p>
    <w:p w:rsidR="000F74E7" w:rsidRPr="00445728" w:rsidRDefault="000F74E7" w:rsidP="000F74E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 rekama kao što su Prolomska, Kosanica i Dobrodolska, kao </w:t>
      </w:r>
      <w:r w:rsidR="002E547B">
        <w:rPr>
          <w:rFonts w:ascii="Times New Roman" w:eastAsia="Times New Roman" w:hAnsi="Times New Roman" w:cs="Times New Roman"/>
          <w:sz w:val="24"/>
          <w:szCs w:val="24"/>
          <w:lang w:val="sr-Latn-RS"/>
        </w:rPr>
        <w:t>i drugim manjim rekama i potocim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unutar RP „Radan“ dozvoljava se ribolov ribolovnih vrsta samo po pricipu „ulovi pa pusti“ </w:t>
      </w:r>
    </w:p>
    <w:p w:rsidR="00B01730" w:rsidRDefault="00B01730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1730" w:rsidRDefault="00B01730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731FD2" w:rsidRPr="00731FD2" w:rsidRDefault="00731FD2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B01730" w:rsidRDefault="00B01730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1730" w:rsidRDefault="00B01730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1730" w:rsidRPr="00383C5F" w:rsidRDefault="00B01730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3C5F" w:rsidRPr="00383C5F" w:rsidRDefault="00383C5F" w:rsidP="00383C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383C5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5. PROGRAM EDUKACIJE REKREATIVNIH RIBOLOVACA </w:t>
      </w:r>
    </w:p>
    <w:p w:rsidR="00383C5F" w:rsidRPr="00383C5F" w:rsidRDefault="00383C5F" w:rsidP="00383C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83C5F" w:rsidRPr="00383C5F" w:rsidRDefault="00383C5F" w:rsidP="00BC65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83C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Edukacija rekreativnih ribolovaca podrazumeva izradu štampanog edukativnog materijala u vidu brošure, sa zakonskim i podzakonskim pravilima ponašanja rekreativnih ribolovaca na ribolovnoj vodi. Ovaj štampani materijal biće podeljen ribolovcima pri kupovini godišnjih dozvola.  </w:t>
      </w:r>
    </w:p>
    <w:p w:rsidR="00CF70CC" w:rsidRDefault="00383C5F" w:rsidP="00CF70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83C5F">
        <w:rPr>
          <w:rFonts w:ascii="Times New Roman" w:eastAsia="Times New Roman" w:hAnsi="Times New Roman" w:cs="Times New Roman"/>
          <w:sz w:val="24"/>
          <w:szCs w:val="24"/>
          <w:lang w:val="sr-Latn-CS"/>
        </w:rPr>
        <w:t>Osim ovoga, a u skladu sa mogućnostima, korisnik će organizovati tematske ribolovne skupove, na kojima će promovisati dobre strane bavljenja rekreativnim ribolovom, odnosno uvoditi u svet rekreativnog ribolova mlađe populacije. Ove aktivnosti imaju za cilj,  povećanje broja ribolovaca koji će se u budućnosti ovom aktivnošću baviti, a u skladu sa tendencijom očuvanja i uvećanja ribljeg fonda.</w:t>
      </w:r>
      <w:r w:rsidR="00CF70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83C5F" w:rsidRPr="00383C5F" w:rsidRDefault="00383C5F" w:rsidP="0038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83C5F" w:rsidRPr="0074437E" w:rsidRDefault="00383C5F" w:rsidP="0074437E">
      <w:pPr>
        <w:tabs>
          <w:tab w:val="left" w:pos="381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83C5F" w:rsidRPr="0074437E" w:rsidSect="00EB5FD9">
      <w:headerReference w:type="default" r:id="rId11"/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81" w:rsidRDefault="002B1581" w:rsidP="00B62E03">
      <w:pPr>
        <w:spacing w:after="0" w:line="240" w:lineRule="auto"/>
      </w:pPr>
      <w:r>
        <w:separator/>
      </w:r>
    </w:p>
  </w:endnote>
  <w:endnote w:type="continuationSeparator" w:id="0">
    <w:p w:rsidR="002B1581" w:rsidRDefault="002B1581" w:rsidP="00B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1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126" w:rsidRDefault="00F21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2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1126" w:rsidRDefault="00F21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81" w:rsidRDefault="002B1581" w:rsidP="00B62E03">
      <w:pPr>
        <w:spacing w:after="0" w:line="240" w:lineRule="auto"/>
      </w:pPr>
      <w:r>
        <w:separator/>
      </w:r>
    </w:p>
  </w:footnote>
  <w:footnote w:type="continuationSeparator" w:id="0">
    <w:p w:rsidR="002B1581" w:rsidRDefault="002B1581" w:rsidP="00B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6" w:rsidRPr="00EB5FD9" w:rsidRDefault="00F21126" w:rsidP="00974FB7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EB5FD9">
      <w:rPr>
        <w:rFonts w:ascii="Times New Roman" w:hAnsi="Times New Roman" w:cs="Times New Roman"/>
        <w:i/>
        <w:sz w:val="20"/>
        <w:szCs w:val="20"/>
      </w:rPr>
      <w:t>Godisnji program</w:t>
    </w:r>
    <w:r>
      <w:rPr>
        <w:rFonts w:ascii="Times New Roman" w:hAnsi="Times New Roman" w:cs="Times New Roman"/>
        <w:i/>
        <w:sz w:val="20"/>
        <w:szCs w:val="20"/>
      </w:rPr>
      <w:t xml:space="preserve"> upravljanja RP “Radan” za 2019.</w:t>
    </w:r>
    <w:r w:rsidRPr="00EB5FD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Pr="00EB5FD9">
      <w:rPr>
        <w:rFonts w:ascii="Times New Roman" w:hAnsi="Times New Roman" w:cs="Times New Roman"/>
        <w:i/>
        <w:sz w:val="20"/>
        <w:szCs w:val="20"/>
      </w:rPr>
      <w:t>godinu</w:t>
    </w:r>
    <w:proofErr w:type="gramEnd"/>
  </w:p>
  <w:p w:rsidR="00F21126" w:rsidRDefault="00F21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7574E9D"/>
    <w:multiLevelType w:val="multilevel"/>
    <w:tmpl w:val="5B4E3D8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55EC2"/>
    <w:multiLevelType w:val="hybridMultilevel"/>
    <w:tmpl w:val="0A244602"/>
    <w:lvl w:ilvl="0" w:tplc="637C0B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869"/>
    <w:multiLevelType w:val="hybridMultilevel"/>
    <w:tmpl w:val="5B7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0CD3"/>
    <w:multiLevelType w:val="multilevel"/>
    <w:tmpl w:val="5896CE94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B847441"/>
    <w:multiLevelType w:val="multilevel"/>
    <w:tmpl w:val="3B847441"/>
    <w:lvl w:ilvl="0">
      <w:start w:val="5"/>
      <w:numFmt w:val="bullet"/>
      <w:lvlText w:val="-"/>
      <w:lvlJc w:val="left"/>
      <w:pPr>
        <w:ind w:left="420" w:hanging="360"/>
      </w:pPr>
      <w:rPr>
        <w:rFonts w:ascii="YuTimes" w:eastAsia="Times New Roman" w:hAnsi="YuTimes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C6D51E6"/>
    <w:multiLevelType w:val="hybridMultilevel"/>
    <w:tmpl w:val="B26EB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218F3"/>
    <w:multiLevelType w:val="hybridMultilevel"/>
    <w:tmpl w:val="AFD64298"/>
    <w:lvl w:ilvl="0" w:tplc="2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3C31FF9"/>
    <w:multiLevelType w:val="hybridMultilevel"/>
    <w:tmpl w:val="10B8C0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4E0B"/>
    <w:multiLevelType w:val="hybridMultilevel"/>
    <w:tmpl w:val="79727D7E"/>
    <w:lvl w:ilvl="0" w:tplc="0BC02D6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C2591B"/>
    <w:multiLevelType w:val="multilevel"/>
    <w:tmpl w:val="5BC259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FCA02B7"/>
    <w:multiLevelType w:val="hybridMultilevel"/>
    <w:tmpl w:val="CDDCFF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A66D51"/>
    <w:multiLevelType w:val="multilevel"/>
    <w:tmpl w:val="1504BEF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3">
    <w:nsid w:val="678E0D5F"/>
    <w:multiLevelType w:val="multilevel"/>
    <w:tmpl w:val="678E0D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017DE"/>
    <w:multiLevelType w:val="hybridMultilevel"/>
    <w:tmpl w:val="C75A4F66"/>
    <w:lvl w:ilvl="0" w:tplc="0A361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5726A"/>
    <w:multiLevelType w:val="hybridMultilevel"/>
    <w:tmpl w:val="47E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F5E4F"/>
    <w:multiLevelType w:val="hybridMultilevel"/>
    <w:tmpl w:val="AD2874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CA6920"/>
    <w:multiLevelType w:val="multilevel"/>
    <w:tmpl w:val="678E0D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8"/>
    <w:rsid w:val="0002437A"/>
    <w:rsid w:val="00036A65"/>
    <w:rsid w:val="000459EC"/>
    <w:rsid w:val="00052BF5"/>
    <w:rsid w:val="00056B19"/>
    <w:rsid w:val="000609E1"/>
    <w:rsid w:val="000811FB"/>
    <w:rsid w:val="00081F06"/>
    <w:rsid w:val="000A1F02"/>
    <w:rsid w:val="000A246C"/>
    <w:rsid w:val="000A284E"/>
    <w:rsid w:val="000C0BE6"/>
    <w:rsid w:val="000D2340"/>
    <w:rsid w:val="000F3272"/>
    <w:rsid w:val="000F74E7"/>
    <w:rsid w:val="00104E8D"/>
    <w:rsid w:val="00106489"/>
    <w:rsid w:val="001075AD"/>
    <w:rsid w:val="001150EB"/>
    <w:rsid w:val="00136AE6"/>
    <w:rsid w:val="00144959"/>
    <w:rsid w:val="001561CA"/>
    <w:rsid w:val="001605BF"/>
    <w:rsid w:val="00161A54"/>
    <w:rsid w:val="0016498B"/>
    <w:rsid w:val="001675D0"/>
    <w:rsid w:val="001A656E"/>
    <w:rsid w:val="001B1D08"/>
    <w:rsid w:val="001B6C93"/>
    <w:rsid w:val="001C5BE7"/>
    <w:rsid w:val="001F17FF"/>
    <w:rsid w:val="00201EBF"/>
    <w:rsid w:val="00203969"/>
    <w:rsid w:val="00206584"/>
    <w:rsid w:val="00224B7B"/>
    <w:rsid w:val="0023601E"/>
    <w:rsid w:val="00244F0C"/>
    <w:rsid w:val="00247C2E"/>
    <w:rsid w:val="00257C1C"/>
    <w:rsid w:val="002669AE"/>
    <w:rsid w:val="00280C7F"/>
    <w:rsid w:val="00295501"/>
    <w:rsid w:val="002A22FF"/>
    <w:rsid w:val="002B1581"/>
    <w:rsid w:val="002C3CE1"/>
    <w:rsid w:val="002E547B"/>
    <w:rsid w:val="002F10A5"/>
    <w:rsid w:val="002F5A86"/>
    <w:rsid w:val="00304C83"/>
    <w:rsid w:val="003132BC"/>
    <w:rsid w:val="00316E73"/>
    <w:rsid w:val="0033474C"/>
    <w:rsid w:val="0035452D"/>
    <w:rsid w:val="00367E16"/>
    <w:rsid w:val="0037645A"/>
    <w:rsid w:val="003821F5"/>
    <w:rsid w:val="00383C5F"/>
    <w:rsid w:val="003939B6"/>
    <w:rsid w:val="003A0C68"/>
    <w:rsid w:val="003A33BA"/>
    <w:rsid w:val="003B17BD"/>
    <w:rsid w:val="003B3DED"/>
    <w:rsid w:val="003B6983"/>
    <w:rsid w:val="003D41F3"/>
    <w:rsid w:val="003D7F8E"/>
    <w:rsid w:val="00405E6D"/>
    <w:rsid w:val="00422C81"/>
    <w:rsid w:val="004344AB"/>
    <w:rsid w:val="0046294F"/>
    <w:rsid w:val="00463CF5"/>
    <w:rsid w:val="00465C79"/>
    <w:rsid w:val="00465EB0"/>
    <w:rsid w:val="00466251"/>
    <w:rsid w:val="00493501"/>
    <w:rsid w:val="00494B1C"/>
    <w:rsid w:val="004C7F26"/>
    <w:rsid w:val="004F36F4"/>
    <w:rsid w:val="004F66D5"/>
    <w:rsid w:val="00531128"/>
    <w:rsid w:val="0053569A"/>
    <w:rsid w:val="00540C32"/>
    <w:rsid w:val="00554559"/>
    <w:rsid w:val="00570143"/>
    <w:rsid w:val="00575246"/>
    <w:rsid w:val="00583C7E"/>
    <w:rsid w:val="00591E45"/>
    <w:rsid w:val="005A6A1A"/>
    <w:rsid w:val="005C1834"/>
    <w:rsid w:val="005D7162"/>
    <w:rsid w:val="005D7DA7"/>
    <w:rsid w:val="005F4657"/>
    <w:rsid w:val="006340C2"/>
    <w:rsid w:val="00653DC1"/>
    <w:rsid w:val="0066403A"/>
    <w:rsid w:val="00666FBC"/>
    <w:rsid w:val="00671543"/>
    <w:rsid w:val="00685EF5"/>
    <w:rsid w:val="00692DA4"/>
    <w:rsid w:val="006B7814"/>
    <w:rsid w:val="006C6CF0"/>
    <w:rsid w:val="006E17E4"/>
    <w:rsid w:val="0070342A"/>
    <w:rsid w:val="00711644"/>
    <w:rsid w:val="00731FD2"/>
    <w:rsid w:val="0074437E"/>
    <w:rsid w:val="00746281"/>
    <w:rsid w:val="00747C85"/>
    <w:rsid w:val="00753686"/>
    <w:rsid w:val="0075688F"/>
    <w:rsid w:val="007819C9"/>
    <w:rsid w:val="00790CAE"/>
    <w:rsid w:val="00791A8E"/>
    <w:rsid w:val="007A6007"/>
    <w:rsid w:val="007B1CB8"/>
    <w:rsid w:val="007B339E"/>
    <w:rsid w:val="007B6F64"/>
    <w:rsid w:val="007C2F0A"/>
    <w:rsid w:val="007E2E40"/>
    <w:rsid w:val="007F426D"/>
    <w:rsid w:val="007F77C5"/>
    <w:rsid w:val="00816986"/>
    <w:rsid w:val="00827619"/>
    <w:rsid w:val="00842558"/>
    <w:rsid w:val="00854863"/>
    <w:rsid w:val="0085775A"/>
    <w:rsid w:val="00864132"/>
    <w:rsid w:val="008A4462"/>
    <w:rsid w:val="008B2C18"/>
    <w:rsid w:val="008B7E8C"/>
    <w:rsid w:val="008C5B9F"/>
    <w:rsid w:val="00912175"/>
    <w:rsid w:val="00930723"/>
    <w:rsid w:val="00931C72"/>
    <w:rsid w:val="0093484A"/>
    <w:rsid w:val="009475F6"/>
    <w:rsid w:val="0095780D"/>
    <w:rsid w:val="00957E86"/>
    <w:rsid w:val="00962E59"/>
    <w:rsid w:val="00974FB7"/>
    <w:rsid w:val="009840CB"/>
    <w:rsid w:val="00992173"/>
    <w:rsid w:val="009B2AE6"/>
    <w:rsid w:val="009B6D52"/>
    <w:rsid w:val="009D14D4"/>
    <w:rsid w:val="009D200D"/>
    <w:rsid w:val="00A215EB"/>
    <w:rsid w:val="00A3234B"/>
    <w:rsid w:val="00A34457"/>
    <w:rsid w:val="00A40427"/>
    <w:rsid w:val="00A4221F"/>
    <w:rsid w:val="00A55245"/>
    <w:rsid w:val="00A76D83"/>
    <w:rsid w:val="00A944EA"/>
    <w:rsid w:val="00A95A3D"/>
    <w:rsid w:val="00AA23B7"/>
    <w:rsid w:val="00AB20F4"/>
    <w:rsid w:val="00AB40F3"/>
    <w:rsid w:val="00AC3B79"/>
    <w:rsid w:val="00AC7241"/>
    <w:rsid w:val="00AE2457"/>
    <w:rsid w:val="00AE79C7"/>
    <w:rsid w:val="00B01730"/>
    <w:rsid w:val="00B26779"/>
    <w:rsid w:val="00B31B3C"/>
    <w:rsid w:val="00B5200C"/>
    <w:rsid w:val="00B5268E"/>
    <w:rsid w:val="00B62E03"/>
    <w:rsid w:val="00B77C32"/>
    <w:rsid w:val="00B81A18"/>
    <w:rsid w:val="00B94171"/>
    <w:rsid w:val="00BC3C44"/>
    <w:rsid w:val="00BC48D0"/>
    <w:rsid w:val="00BC651D"/>
    <w:rsid w:val="00BC68AD"/>
    <w:rsid w:val="00BD297F"/>
    <w:rsid w:val="00BF5068"/>
    <w:rsid w:val="00BF59D6"/>
    <w:rsid w:val="00BF7584"/>
    <w:rsid w:val="00C00032"/>
    <w:rsid w:val="00C162EE"/>
    <w:rsid w:val="00C253A2"/>
    <w:rsid w:val="00C31354"/>
    <w:rsid w:val="00C41FD9"/>
    <w:rsid w:val="00C50DA7"/>
    <w:rsid w:val="00C61787"/>
    <w:rsid w:val="00C62018"/>
    <w:rsid w:val="00C755F5"/>
    <w:rsid w:val="00C92219"/>
    <w:rsid w:val="00C9704E"/>
    <w:rsid w:val="00CA2328"/>
    <w:rsid w:val="00CB77CD"/>
    <w:rsid w:val="00CD4613"/>
    <w:rsid w:val="00CE01C8"/>
    <w:rsid w:val="00CF70CC"/>
    <w:rsid w:val="00D10A2D"/>
    <w:rsid w:val="00D176AE"/>
    <w:rsid w:val="00D209E5"/>
    <w:rsid w:val="00D31BE8"/>
    <w:rsid w:val="00D4628B"/>
    <w:rsid w:val="00D4720F"/>
    <w:rsid w:val="00D57F48"/>
    <w:rsid w:val="00D655C1"/>
    <w:rsid w:val="00D66930"/>
    <w:rsid w:val="00DA68B3"/>
    <w:rsid w:val="00DB46AB"/>
    <w:rsid w:val="00DB4EEF"/>
    <w:rsid w:val="00DC4023"/>
    <w:rsid w:val="00DD38ED"/>
    <w:rsid w:val="00DE3B3A"/>
    <w:rsid w:val="00DF15BC"/>
    <w:rsid w:val="00E17D96"/>
    <w:rsid w:val="00E20918"/>
    <w:rsid w:val="00E402B1"/>
    <w:rsid w:val="00E52FAF"/>
    <w:rsid w:val="00E86847"/>
    <w:rsid w:val="00E953C1"/>
    <w:rsid w:val="00EA29AC"/>
    <w:rsid w:val="00EB3674"/>
    <w:rsid w:val="00EB5FD9"/>
    <w:rsid w:val="00EC256E"/>
    <w:rsid w:val="00ED40EC"/>
    <w:rsid w:val="00F02D43"/>
    <w:rsid w:val="00F21126"/>
    <w:rsid w:val="00F26561"/>
    <w:rsid w:val="00F7071A"/>
    <w:rsid w:val="00F84401"/>
    <w:rsid w:val="00F90475"/>
    <w:rsid w:val="00F904A5"/>
    <w:rsid w:val="00F905C1"/>
    <w:rsid w:val="00FB0572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4AB"/>
    <w:pPr>
      <w:ind w:left="720"/>
      <w:contextualSpacing/>
    </w:pPr>
  </w:style>
  <w:style w:type="paragraph" w:customStyle="1" w:styleId="CharChar3CharCharCharCharCharCharCharCharCharCharCharCharCharCharCharCharCharCharCharCharChar">
    <w:name w:val="Char Char3 Char Char Char Char Char Char Char Char Char Char Char Char Char Char Char Char Char Char Char Char Char"/>
    <w:basedOn w:val="Normal"/>
    <w:rsid w:val="0053112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andard">
    <w:name w:val="Standard"/>
    <w:rsid w:val="00531128"/>
    <w:pPr>
      <w:suppressAutoHyphens/>
      <w:spacing w:after="0" w:line="240" w:lineRule="auto"/>
      <w:textAlignment w:val="baseline"/>
    </w:pPr>
    <w:rPr>
      <w:rFonts w:ascii="Times New Roman" w:eastAsia="OpenSymbol" w:hAnsi="Times New Roman" w:cs="Times New Roman"/>
      <w:sz w:val="20"/>
      <w:szCs w:val="20"/>
      <w:lang w:eastAsia="ar-SA"/>
    </w:rPr>
  </w:style>
  <w:style w:type="table" w:styleId="LightList">
    <w:name w:val="Light List"/>
    <w:basedOn w:val="TableNormal"/>
    <w:uiPriority w:val="61"/>
    <w:rsid w:val="00201E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03"/>
  </w:style>
  <w:style w:type="paragraph" w:styleId="Footer">
    <w:name w:val="footer"/>
    <w:basedOn w:val="Normal"/>
    <w:link w:val="FooterChar"/>
    <w:uiPriority w:val="99"/>
    <w:unhideWhenUsed/>
    <w:rsid w:val="00B6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03"/>
  </w:style>
  <w:style w:type="table" w:styleId="ColorfulList-Accent3">
    <w:name w:val="Colorful List Accent 3"/>
    <w:basedOn w:val="TableNormal"/>
    <w:uiPriority w:val="72"/>
    <w:rsid w:val="000F74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4AB"/>
    <w:pPr>
      <w:ind w:left="720"/>
      <w:contextualSpacing/>
    </w:pPr>
  </w:style>
  <w:style w:type="paragraph" w:customStyle="1" w:styleId="CharChar3CharCharCharCharCharCharCharCharCharCharCharCharCharCharCharCharCharCharCharCharChar">
    <w:name w:val="Char Char3 Char Char Char Char Char Char Char Char Char Char Char Char Char Char Char Char Char Char Char Char Char"/>
    <w:basedOn w:val="Normal"/>
    <w:rsid w:val="0053112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andard">
    <w:name w:val="Standard"/>
    <w:rsid w:val="00531128"/>
    <w:pPr>
      <w:suppressAutoHyphens/>
      <w:spacing w:after="0" w:line="240" w:lineRule="auto"/>
      <w:textAlignment w:val="baseline"/>
    </w:pPr>
    <w:rPr>
      <w:rFonts w:ascii="Times New Roman" w:eastAsia="OpenSymbol" w:hAnsi="Times New Roman" w:cs="Times New Roman"/>
      <w:sz w:val="20"/>
      <w:szCs w:val="20"/>
      <w:lang w:eastAsia="ar-SA"/>
    </w:rPr>
  </w:style>
  <w:style w:type="table" w:styleId="LightList">
    <w:name w:val="Light List"/>
    <w:basedOn w:val="TableNormal"/>
    <w:uiPriority w:val="61"/>
    <w:rsid w:val="00201E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03"/>
  </w:style>
  <w:style w:type="paragraph" w:styleId="Footer">
    <w:name w:val="footer"/>
    <w:basedOn w:val="Normal"/>
    <w:link w:val="FooterChar"/>
    <w:uiPriority w:val="99"/>
    <w:unhideWhenUsed/>
    <w:rsid w:val="00B6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03"/>
  </w:style>
  <w:style w:type="table" w:styleId="ColorfulList-Accent3">
    <w:name w:val="Colorful List Accent 3"/>
    <w:basedOn w:val="TableNormal"/>
    <w:uiPriority w:val="72"/>
    <w:rsid w:val="000F74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CB9D-5148-4F30-B127-FF812D7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Srbijasume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Alan Koljukaj</cp:lastModifiedBy>
  <cp:revision>8</cp:revision>
  <cp:lastPrinted>2019-01-29T12:26:00Z</cp:lastPrinted>
  <dcterms:created xsi:type="dcterms:W3CDTF">2018-12-31T07:50:00Z</dcterms:created>
  <dcterms:modified xsi:type="dcterms:W3CDTF">2019-01-29T12:46:00Z</dcterms:modified>
</cp:coreProperties>
</file>